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1613" w14:textId="6C0C34E9" w:rsidR="002930E3" w:rsidRPr="00D170C3" w:rsidRDefault="002930E3" w:rsidP="002930E3">
      <w:pPr>
        <w:rPr>
          <w:rFonts w:cs="Calibri"/>
          <w:b/>
          <w:bCs/>
        </w:rPr>
      </w:pPr>
      <w:proofErr w:type="spellStart"/>
      <w:r w:rsidRPr="00D170C3">
        <w:rPr>
          <w:rFonts w:cs="Calibri"/>
          <w:b/>
          <w:bCs/>
        </w:rPr>
        <w:t>Bectu</w:t>
      </w:r>
      <w:proofErr w:type="spellEnd"/>
      <w:r w:rsidRPr="00D170C3">
        <w:rPr>
          <w:rFonts w:cs="Calibri"/>
          <w:b/>
          <w:bCs/>
        </w:rPr>
        <w:t xml:space="preserve"> Staff Retirement Scheme Statement of Investment Principles implementation statement for the scheme year ending 31.10.2025</w:t>
      </w:r>
    </w:p>
    <w:p w14:paraId="6884C079" w14:textId="77777777" w:rsidR="002930E3" w:rsidRPr="00D170C3" w:rsidRDefault="002930E3" w:rsidP="002930E3">
      <w:pPr>
        <w:rPr>
          <w:rFonts w:cs="Calibri"/>
          <w:sz w:val="22"/>
          <w:szCs w:val="22"/>
        </w:rPr>
      </w:pPr>
    </w:p>
    <w:p w14:paraId="47D8DF89" w14:textId="392550CA" w:rsidR="002930E3" w:rsidRPr="00D170C3" w:rsidRDefault="002930E3" w:rsidP="002930E3">
      <w:pPr>
        <w:rPr>
          <w:rFonts w:cs="Calibri"/>
          <w:sz w:val="22"/>
          <w:szCs w:val="22"/>
        </w:rPr>
      </w:pPr>
      <w:r w:rsidRPr="00D170C3">
        <w:rPr>
          <w:rFonts w:cs="Calibri"/>
          <w:sz w:val="22"/>
          <w:szCs w:val="22"/>
        </w:rPr>
        <w:t xml:space="preserve">The Occupational Pension Schemes (investment and Disclosure) (Amendment) Regulations 2019 require defined benefit pension schemes to produce and publish a statement which must set out how, and the extent to which, the scheme's policies on stewardship have been followed during the scheme year, and describe the voting behaviour by, or on behalf of, the trustees, including the most significant votes cast by the trustees or on their behalf, during the scheme year, stating any use of the services of a proxy provider. This SIP implementation statement published by the </w:t>
      </w:r>
      <w:proofErr w:type="spellStart"/>
      <w:r w:rsidRPr="00D170C3">
        <w:rPr>
          <w:rFonts w:cs="Calibri"/>
          <w:sz w:val="22"/>
          <w:szCs w:val="22"/>
        </w:rPr>
        <w:t>Bectu</w:t>
      </w:r>
      <w:proofErr w:type="spellEnd"/>
      <w:r w:rsidRPr="00D170C3">
        <w:rPr>
          <w:rFonts w:cs="Calibri"/>
          <w:sz w:val="22"/>
          <w:szCs w:val="22"/>
        </w:rPr>
        <w:t xml:space="preserve"> Staff Retirement Scheme (BSRS) is for the year ending 31st October 2025.</w:t>
      </w:r>
    </w:p>
    <w:p w14:paraId="66047517" w14:textId="77777777" w:rsidR="00890E90" w:rsidRPr="00D170C3" w:rsidRDefault="00890E90">
      <w:pPr>
        <w:rPr>
          <w:rFonts w:cs="Calibri"/>
          <w:sz w:val="22"/>
          <w:szCs w:val="22"/>
        </w:rPr>
      </w:pPr>
    </w:p>
    <w:p w14:paraId="1288EA69" w14:textId="01F7B547" w:rsidR="002930E3" w:rsidRPr="00D170C3" w:rsidRDefault="002930E3" w:rsidP="002930E3">
      <w:pPr>
        <w:rPr>
          <w:rFonts w:cs="Calibri"/>
          <w:sz w:val="22"/>
          <w:szCs w:val="22"/>
        </w:rPr>
      </w:pPr>
      <w:r w:rsidRPr="00D170C3">
        <w:rPr>
          <w:rFonts w:cs="Calibri"/>
          <w:sz w:val="22"/>
          <w:szCs w:val="22"/>
        </w:rPr>
        <w:t>From 1 October 2021 the Occupational Pension Schemes (Climate Change Governance and Reporting) Regulations 2021 came into force, introducing new requirements relating to reporting in line with the Task Force on Climate-related Financial Disclosures (TCFD) recommendations, to improve both the quality of governance and the level of action by trustees in identifying, assessing and managing climate risk.</w:t>
      </w:r>
    </w:p>
    <w:p w14:paraId="29956AE1" w14:textId="77777777" w:rsidR="002930E3" w:rsidRPr="00D170C3" w:rsidRDefault="002930E3" w:rsidP="002930E3">
      <w:pPr>
        <w:rPr>
          <w:rFonts w:cs="Calibri"/>
          <w:sz w:val="22"/>
          <w:szCs w:val="22"/>
        </w:rPr>
      </w:pPr>
    </w:p>
    <w:p w14:paraId="6431FE12" w14:textId="77777777" w:rsidR="002930E3" w:rsidRPr="00D170C3" w:rsidRDefault="002930E3" w:rsidP="002930E3">
      <w:pPr>
        <w:rPr>
          <w:rFonts w:cs="Calibri"/>
          <w:sz w:val="22"/>
          <w:szCs w:val="22"/>
        </w:rPr>
      </w:pPr>
      <w:r w:rsidRPr="00D170C3">
        <w:rPr>
          <w:rFonts w:cs="Calibri"/>
          <w:sz w:val="22"/>
          <w:szCs w:val="22"/>
        </w:rPr>
        <w:t>The BSRS is too small to fall within the scope of the new requirements. Nevertheless, the Trustee agrees with the Pensions Regulator's view that global heating has the potential to destabilise the social and economic conditions on which we depend for our pensions system, that the impact has financial consequences as well, and that any scheme that does not consider climate change is ignoring a major risk to pension savings and missing out on investment opportunities</w:t>
      </w:r>
      <w:r w:rsidRPr="00D170C3">
        <w:rPr>
          <w:rStyle w:val="FootnoteReference"/>
          <w:rFonts w:cs="Calibri"/>
          <w:sz w:val="22"/>
          <w:szCs w:val="22"/>
        </w:rPr>
        <w:footnoteReference w:id="1"/>
      </w:r>
      <w:r w:rsidRPr="00D170C3">
        <w:rPr>
          <w:rFonts w:cs="Calibri"/>
          <w:sz w:val="22"/>
          <w:szCs w:val="22"/>
        </w:rPr>
        <w:t xml:space="preserve">. </w:t>
      </w:r>
    </w:p>
    <w:p w14:paraId="1F21EE1B" w14:textId="77777777" w:rsidR="002930E3" w:rsidRPr="00D170C3" w:rsidRDefault="002930E3">
      <w:pPr>
        <w:rPr>
          <w:rFonts w:cs="Calibri"/>
          <w:sz w:val="22"/>
          <w:szCs w:val="22"/>
        </w:rPr>
      </w:pPr>
    </w:p>
    <w:p w14:paraId="1B8D1487" w14:textId="275ABE2D" w:rsidR="002930E3" w:rsidRPr="00D170C3" w:rsidRDefault="00D170C3" w:rsidP="002930E3">
      <w:pPr>
        <w:rPr>
          <w:rFonts w:cs="Calibri"/>
          <w:b/>
          <w:bCs/>
          <w:sz w:val="22"/>
          <w:szCs w:val="22"/>
        </w:rPr>
      </w:pPr>
      <w:r w:rsidRPr="00D170C3">
        <w:rPr>
          <w:rFonts w:cs="Calibri"/>
          <w:b/>
          <w:bCs/>
          <w:sz w:val="22"/>
          <w:szCs w:val="22"/>
        </w:rPr>
        <w:t xml:space="preserve">1. </w:t>
      </w:r>
      <w:r w:rsidR="002930E3" w:rsidRPr="00D170C3">
        <w:rPr>
          <w:rFonts w:cs="Calibri"/>
          <w:b/>
          <w:bCs/>
          <w:sz w:val="22"/>
          <w:szCs w:val="22"/>
        </w:rPr>
        <w:t>Action on net zero</w:t>
      </w:r>
    </w:p>
    <w:p w14:paraId="0E5931C6" w14:textId="77777777" w:rsidR="002930E3" w:rsidRPr="00D170C3" w:rsidRDefault="002930E3" w:rsidP="002930E3">
      <w:pPr>
        <w:rPr>
          <w:rFonts w:cs="Calibri"/>
          <w:sz w:val="22"/>
          <w:szCs w:val="22"/>
        </w:rPr>
      </w:pPr>
    </w:p>
    <w:p w14:paraId="0ED72B49" w14:textId="77777777" w:rsidR="002930E3" w:rsidRPr="00D170C3" w:rsidRDefault="002930E3" w:rsidP="002930E3">
      <w:pPr>
        <w:rPr>
          <w:rFonts w:cs="Calibri"/>
          <w:color w:val="000000" w:themeColor="text1"/>
          <w:sz w:val="22"/>
          <w:szCs w:val="22"/>
        </w:rPr>
      </w:pPr>
      <w:r w:rsidRPr="00D170C3">
        <w:rPr>
          <w:rFonts w:cs="Calibri"/>
          <w:color w:val="000000" w:themeColor="text1"/>
          <w:sz w:val="22"/>
          <w:szCs w:val="22"/>
        </w:rPr>
        <w:t xml:space="preserve">During the previous scheme </w:t>
      </w:r>
      <w:proofErr w:type="gramStart"/>
      <w:r w:rsidRPr="00D170C3">
        <w:rPr>
          <w:rFonts w:cs="Calibri"/>
          <w:color w:val="000000" w:themeColor="text1"/>
          <w:sz w:val="22"/>
          <w:szCs w:val="22"/>
        </w:rPr>
        <w:t>year</w:t>
      </w:r>
      <w:proofErr w:type="gramEnd"/>
      <w:r w:rsidRPr="00D170C3">
        <w:rPr>
          <w:rFonts w:cs="Calibri"/>
          <w:color w:val="000000" w:themeColor="text1"/>
          <w:sz w:val="22"/>
          <w:szCs w:val="22"/>
        </w:rPr>
        <w:t xml:space="preserve"> the trustee board discussed and agreed a formal policy adopting a net zero target which became part of the Statement of Investment Principles. </w:t>
      </w:r>
    </w:p>
    <w:p w14:paraId="6FA44564" w14:textId="77777777" w:rsidR="002930E3" w:rsidRPr="00D170C3" w:rsidRDefault="002930E3" w:rsidP="002930E3">
      <w:pPr>
        <w:rPr>
          <w:rFonts w:cs="Calibri"/>
          <w:color w:val="000000" w:themeColor="text1"/>
          <w:sz w:val="22"/>
          <w:szCs w:val="22"/>
        </w:rPr>
      </w:pPr>
    </w:p>
    <w:p w14:paraId="0C06FE2C" w14:textId="77777777" w:rsidR="002930E3" w:rsidRPr="00D170C3" w:rsidRDefault="002930E3" w:rsidP="002930E3">
      <w:pPr>
        <w:rPr>
          <w:rFonts w:cs="Calibri"/>
          <w:color w:val="000000" w:themeColor="text1"/>
          <w:sz w:val="22"/>
          <w:szCs w:val="22"/>
        </w:rPr>
      </w:pPr>
      <w:r w:rsidRPr="00D170C3">
        <w:rPr>
          <w:rFonts w:cs="Calibri"/>
          <w:color w:val="000000" w:themeColor="text1"/>
          <w:sz w:val="22"/>
          <w:szCs w:val="22"/>
        </w:rPr>
        <w:t>The policy is as follows:</w:t>
      </w:r>
    </w:p>
    <w:p w14:paraId="0351A698" w14:textId="77777777" w:rsidR="002930E3" w:rsidRPr="00D170C3" w:rsidRDefault="002930E3" w:rsidP="002930E3">
      <w:pPr>
        <w:pStyle w:val="BodyText"/>
        <w:jc w:val="left"/>
        <w:rPr>
          <w:rFonts w:ascii="Calibri" w:hAnsi="Calibri" w:cs="Calibri"/>
          <w:sz w:val="22"/>
          <w:szCs w:val="22"/>
        </w:rPr>
      </w:pPr>
      <w:r w:rsidRPr="00D170C3">
        <w:rPr>
          <w:rStyle w:val="BodyTextChar"/>
          <w:rFonts w:ascii="Calibri" w:hAnsi="Calibri" w:cs="Calibri"/>
          <w:sz w:val="22"/>
          <w:szCs w:val="22"/>
        </w:rPr>
        <w:t xml:space="preserve">"Reflecting on the importance of climate risk, the Trustee has decided to reduce carbon emissions attributable to the investment portfolio, with a target to achieve net zero emissions by 2050 or, where viable, before 2050. In setting such a target, the Trustee </w:t>
      </w:r>
      <w:proofErr w:type="spellStart"/>
      <w:r w:rsidRPr="00D170C3">
        <w:rPr>
          <w:rStyle w:val="BodyTextChar"/>
          <w:rFonts w:ascii="Calibri" w:hAnsi="Calibri" w:cs="Calibri"/>
          <w:sz w:val="22"/>
          <w:szCs w:val="22"/>
        </w:rPr>
        <w:t>recognises</w:t>
      </w:r>
      <w:proofErr w:type="spellEnd"/>
      <w:r w:rsidRPr="00D170C3">
        <w:rPr>
          <w:rStyle w:val="BodyTextChar"/>
          <w:rFonts w:ascii="Calibri" w:hAnsi="Calibri" w:cs="Calibri"/>
          <w:sz w:val="22"/>
          <w:szCs w:val="22"/>
        </w:rPr>
        <w:t xml:space="preserve"> that the Scheme’s assets are not currently aligned with this objective and that it may take some time to restructure the portfolio to be consistent with the target (for example, by investing in pooled funds that themselves have set a “net zero by 2050” target).  The implementation of the target will be considered with the investment consultant and carried out in a measured way, that also takes into account the Trustee’s wider objectives and ESG beliefs."</w:t>
      </w:r>
    </w:p>
    <w:p w14:paraId="6E70C911" w14:textId="77777777" w:rsidR="002930E3" w:rsidRPr="00D170C3" w:rsidRDefault="002930E3" w:rsidP="002930E3">
      <w:pPr>
        <w:rPr>
          <w:rFonts w:cs="Calibri"/>
          <w:color w:val="000000" w:themeColor="text1"/>
          <w:sz w:val="22"/>
          <w:szCs w:val="22"/>
        </w:rPr>
      </w:pPr>
      <w:r w:rsidRPr="00D170C3">
        <w:rPr>
          <w:rFonts w:cs="Calibri"/>
          <w:color w:val="000000" w:themeColor="text1"/>
          <w:sz w:val="22"/>
          <w:szCs w:val="22"/>
        </w:rPr>
        <w:t xml:space="preserve">With the assistance of their investment consultants' climate risk assessment tools, the board undertook a scenario analysis of the impact of climate change on the investment portfolio. The board also took note of the implied temperature alignment of each fund in which they were invested. The board decided to review its multi-asset credit funds and then its equity funds with a view to moving to funds more closely aligned with the board's net zero strategy. </w:t>
      </w:r>
    </w:p>
    <w:p w14:paraId="77DE85B0" w14:textId="77777777" w:rsidR="002930E3" w:rsidRPr="00D170C3" w:rsidRDefault="002930E3" w:rsidP="002930E3">
      <w:pPr>
        <w:rPr>
          <w:rFonts w:cs="Calibri"/>
          <w:color w:val="000000" w:themeColor="text1"/>
          <w:sz w:val="22"/>
          <w:szCs w:val="22"/>
        </w:rPr>
      </w:pPr>
    </w:p>
    <w:p w14:paraId="05EB53B1" w14:textId="39A5655A" w:rsidR="000667F0" w:rsidRPr="00D170C3" w:rsidRDefault="002930E3" w:rsidP="002930E3">
      <w:pPr>
        <w:rPr>
          <w:rFonts w:eastAsia="Times New Roman" w:cs="Calibri"/>
          <w:color w:val="000000"/>
          <w:sz w:val="22"/>
          <w:szCs w:val="22"/>
          <w:lang w:eastAsia="en-GB"/>
        </w:rPr>
      </w:pPr>
      <w:r w:rsidRPr="00D170C3">
        <w:rPr>
          <w:rFonts w:cs="Calibri"/>
          <w:color w:val="000000" w:themeColor="text1"/>
          <w:sz w:val="22"/>
          <w:szCs w:val="22"/>
        </w:rPr>
        <w:t xml:space="preserve">From September 2025 the scheme was invested in the </w:t>
      </w:r>
      <w:r w:rsidRPr="00D170C3">
        <w:rPr>
          <w:rFonts w:eastAsia="Times New Roman" w:cs="Calibri"/>
          <w:color w:val="000000"/>
          <w:sz w:val="22"/>
          <w:szCs w:val="22"/>
          <w:lang w:eastAsia="en-GB"/>
        </w:rPr>
        <w:t xml:space="preserve">M&amp;G Sustainable Total Return Credit Fund. Prior to selecting M&amp;G the board held discussions with the fund manager and sought and received assurances about cooperation with the board's stewardship agenda. </w:t>
      </w:r>
      <w:proofErr w:type="gramStart"/>
      <w:r w:rsidR="000667F0" w:rsidRPr="00D170C3">
        <w:rPr>
          <w:rFonts w:eastAsia="Times New Roman" w:cs="Calibri"/>
          <w:color w:val="000000"/>
          <w:sz w:val="22"/>
          <w:szCs w:val="22"/>
          <w:lang w:eastAsia="en-GB"/>
        </w:rPr>
        <w:t>As a consequence of</w:t>
      </w:r>
      <w:proofErr w:type="gramEnd"/>
      <w:r w:rsidR="000667F0" w:rsidRPr="00D170C3">
        <w:rPr>
          <w:rFonts w:eastAsia="Times New Roman" w:cs="Calibri"/>
          <w:color w:val="000000"/>
          <w:sz w:val="22"/>
          <w:szCs w:val="22"/>
          <w:lang w:eastAsia="en-GB"/>
        </w:rPr>
        <w:t xml:space="preserve"> this investment the board disinvested from the Royal London Asset Management Multi-Asset Credit Fund. </w:t>
      </w:r>
    </w:p>
    <w:p w14:paraId="1C5E27C6" w14:textId="77777777" w:rsidR="000667F0" w:rsidRPr="00D170C3" w:rsidRDefault="000667F0" w:rsidP="002930E3">
      <w:pPr>
        <w:rPr>
          <w:rFonts w:eastAsia="Times New Roman" w:cs="Calibri"/>
          <w:color w:val="000000"/>
          <w:sz w:val="22"/>
          <w:szCs w:val="22"/>
          <w:lang w:eastAsia="en-GB"/>
        </w:rPr>
      </w:pPr>
    </w:p>
    <w:p w14:paraId="6614F11B" w14:textId="66FE7B53" w:rsidR="000667F0" w:rsidRPr="00D170C3" w:rsidRDefault="002930E3" w:rsidP="000667F0">
      <w:pPr>
        <w:rPr>
          <w:rFonts w:eastAsia="Times New Roman" w:cs="Calibri"/>
          <w:color w:val="000000"/>
          <w:sz w:val="22"/>
          <w:szCs w:val="22"/>
          <w:lang w:eastAsia="en-GB"/>
        </w:rPr>
      </w:pPr>
      <w:r w:rsidRPr="00D170C3">
        <w:rPr>
          <w:rFonts w:cs="Calibri"/>
          <w:color w:val="000000" w:themeColor="text1"/>
          <w:sz w:val="22"/>
          <w:szCs w:val="22"/>
        </w:rPr>
        <w:t xml:space="preserve">The Trustee also agreed to move to the </w:t>
      </w:r>
      <w:r w:rsidR="00D170C3" w:rsidRPr="00D170C3">
        <w:rPr>
          <w:rFonts w:cs="Calibri"/>
          <w:color w:val="000000" w:themeColor="text1"/>
          <w:sz w:val="22"/>
          <w:szCs w:val="22"/>
        </w:rPr>
        <w:t>L&amp;G</w:t>
      </w:r>
      <w:r w:rsidRPr="00D170C3">
        <w:rPr>
          <w:rFonts w:cs="Calibri"/>
          <w:color w:val="000000" w:themeColor="text1"/>
          <w:sz w:val="22"/>
          <w:szCs w:val="22"/>
        </w:rPr>
        <w:t xml:space="preserve"> LDI portfolio from </w:t>
      </w:r>
      <w:proofErr w:type="gramStart"/>
      <w:r w:rsidRPr="00D170C3">
        <w:rPr>
          <w:rFonts w:cs="Calibri"/>
          <w:color w:val="000000" w:themeColor="text1"/>
          <w:sz w:val="22"/>
          <w:szCs w:val="22"/>
        </w:rPr>
        <w:t>July 2025</w:t>
      </w:r>
      <w:r w:rsidR="000667F0" w:rsidRPr="00D170C3">
        <w:rPr>
          <w:rFonts w:cs="Calibri"/>
          <w:color w:val="000000" w:themeColor="text1"/>
          <w:sz w:val="22"/>
          <w:szCs w:val="22"/>
        </w:rPr>
        <w:t>, and</w:t>
      </w:r>
      <w:proofErr w:type="gramEnd"/>
      <w:r w:rsidR="000667F0" w:rsidRPr="00D170C3">
        <w:rPr>
          <w:rFonts w:eastAsia="Times New Roman" w:cs="Calibri"/>
          <w:color w:val="000000"/>
          <w:sz w:val="22"/>
          <w:szCs w:val="22"/>
          <w:lang w:eastAsia="en-GB"/>
        </w:rPr>
        <w:t xml:space="preserve"> exited the </w:t>
      </w:r>
      <w:r w:rsidR="00D170C3" w:rsidRPr="00D170C3">
        <w:rPr>
          <w:rFonts w:eastAsia="Times New Roman" w:cs="Calibri"/>
          <w:color w:val="000000"/>
          <w:sz w:val="22"/>
          <w:szCs w:val="22"/>
          <w:lang w:eastAsia="en-GB"/>
        </w:rPr>
        <w:t>L&amp;G</w:t>
      </w:r>
      <w:r w:rsidR="000667F0" w:rsidRPr="00D170C3">
        <w:rPr>
          <w:rFonts w:eastAsia="Times New Roman" w:cs="Calibri"/>
          <w:color w:val="000000"/>
          <w:sz w:val="22"/>
          <w:szCs w:val="22"/>
          <w:lang w:eastAsia="en-GB"/>
        </w:rPr>
        <w:t xml:space="preserve"> Investment Grade Corporate Bond All Stocks and the </w:t>
      </w:r>
      <w:r w:rsidR="00D170C3" w:rsidRPr="00D170C3">
        <w:rPr>
          <w:rFonts w:eastAsia="Times New Roman" w:cs="Calibri"/>
          <w:color w:val="000000"/>
          <w:sz w:val="22"/>
          <w:szCs w:val="22"/>
          <w:lang w:eastAsia="en-GB"/>
        </w:rPr>
        <w:t>L&amp;G</w:t>
      </w:r>
      <w:r w:rsidR="000667F0" w:rsidRPr="00D170C3">
        <w:rPr>
          <w:rFonts w:eastAsia="Times New Roman" w:cs="Calibri"/>
          <w:color w:val="000000"/>
          <w:sz w:val="22"/>
          <w:szCs w:val="22"/>
          <w:lang w:eastAsia="en-GB"/>
        </w:rPr>
        <w:t xml:space="preserve"> All Stocks Index Linked Gilts Fund.</w:t>
      </w:r>
    </w:p>
    <w:p w14:paraId="4B476546" w14:textId="4C7288C0" w:rsidR="002930E3" w:rsidRPr="00D170C3" w:rsidRDefault="002930E3" w:rsidP="002930E3">
      <w:pPr>
        <w:rPr>
          <w:rFonts w:eastAsia="Times New Roman" w:cs="Calibri"/>
          <w:color w:val="000000"/>
          <w:sz w:val="22"/>
          <w:szCs w:val="22"/>
          <w:lang w:eastAsia="en-GB"/>
        </w:rPr>
      </w:pPr>
    </w:p>
    <w:p w14:paraId="2AD7F363" w14:textId="397C86EF" w:rsidR="002930E3" w:rsidRPr="00D170C3" w:rsidRDefault="002930E3" w:rsidP="002930E3">
      <w:pPr>
        <w:rPr>
          <w:rFonts w:cs="Calibri"/>
          <w:color w:val="000000" w:themeColor="text1"/>
          <w:sz w:val="22"/>
          <w:szCs w:val="22"/>
        </w:rPr>
      </w:pPr>
      <w:r w:rsidRPr="00D170C3">
        <w:rPr>
          <w:rFonts w:eastAsia="Times New Roman" w:cs="Calibri"/>
          <w:color w:val="000000"/>
          <w:sz w:val="22"/>
          <w:szCs w:val="22"/>
          <w:lang w:eastAsia="en-GB"/>
        </w:rPr>
        <w:t>During the scheme year to 31.10.25 the board selected</w:t>
      </w:r>
      <w:r w:rsidRPr="00D170C3">
        <w:rPr>
          <w:rFonts w:eastAsia="Times New Roman" w:cs="Calibri"/>
          <w:color w:val="000000"/>
          <w:sz w:val="22"/>
          <w:szCs w:val="22"/>
          <w:lang w:val="en-US" w:eastAsia="en-GB"/>
        </w:rPr>
        <w:t xml:space="preserve"> the AMX/ DWS Global Low Carbon Stewardship Fund which not only incorporated a low carbon commitment but also offered voting in alignment with the Trustees' Red Line voting policy, unlike the funds it replaced. The funds due to be replaced were the </w:t>
      </w:r>
      <w:r w:rsidR="00D170C3" w:rsidRPr="00D170C3">
        <w:rPr>
          <w:rFonts w:eastAsia="Times New Roman" w:cs="Calibri"/>
          <w:color w:val="000000" w:themeColor="text1"/>
          <w:sz w:val="22"/>
          <w:szCs w:val="22"/>
          <w:lang w:val="en-US" w:eastAsia="en-GB"/>
        </w:rPr>
        <w:t>L&amp;G</w:t>
      </w:r>
      <w:r w:rsidRPr="00D170C3">
        <w:rPr>
          <w:rFonts w:eastAsia="Times New Roman" w:cs="Calibri"/>
          <w:color w:val="000000" w:themeColor="text1"/>
          <w:sz w:val="22"/>
          <w:szCs w:val="22"/>
          <w:lang w:val="en-US" w:eastAsia="en-GB"/>
        </w:rPr>
        <w:t xml:space="preserve"> Global Equity Fixed Weights (50-50) Index Fun</w:t>
      </w:r>
      <w:r w:rsidR="00D170C3" w:rsidRPr="00D170C3">
        <w:rPr>
          <w:rFonts w:eastAsia="Times New Roman" w:cs="Calibri"/>
          <w:color w:val="000000" w:themeColor="text1"/>
          <w:sz w:val="22"/>
          <w:szCs w:val="22"/>
          <w:lang w:val="en-US" w:eastAsia="en-GB"/>
        </w:rPr>
        <w:t>d</w:t>
      </w:r>
      <w:r w:rsidR="00526E0B" w:rsidRPr="00D170C3">
        <w:rPr>
          <w:rFonts w:eastAsia="Times New Roman" w:cs="Calibri"/>
          <w:color w:val="000000" w:themeColor="text1"/>
          <w:sz w:val="22"/>
          <w:szCs w:val="22"/>
          <w:lang w:val="en-US" w:eastAsia="en-GB"/>
        </w:rPr>
        <w:t>, which disinvested in November 2025</w:t>
      </w:r>
      <w:r w:rsidRPr="00D170C3">
        <w:rPr>
          <w:rFonts w:eastAsia="Times New Roman" w:cs="Calibri"/>
          <w:color w:val="000000" w:themeColor="text1"/>
          <w:sz w:val="22"/>
          <w:szCs w:val="22"/>
          <w:lang w:val="en-US" w:eastAsia="en-GB"/>
        </w:rPr>
        <w:t xml:space="preserve"> and the Newton </w:t>
      </w:r>
      <w:r w:rsidR="00D170C3" w:rsidRPr="00D170C3">
        <w:rPr>
          <w:rFonts w:eastAsia="Times New Roman" w:cs="Calibri"/>
          <w:color w:val="000000" w:themeColor="text1"/>
          <w:sz w:val="22"/>
          <w:szCs w:val="22"/>
          <w:lang w:val="en-US" w:eastAsia="en-GB"/>
        </w:rPr>
        <w:t>R</w:t>
      </w:r>
      <w:r w:rsidRPr="00D170C3">
        <w:rPr>
          <w:rFonts w:eastAsia="Times New Roman" w:cs="Calibri"/>
          <w:color w:val="000000" w:themeColor="text1"/>
          <w:sz w:val="22"/>
          <w:szCs w:val="22"/>
          <w:lang w:val="en-US" w:eastAsia="en-GB"/>
        </w:rPr>
        <w:t>eal Return Fund (renamed BNY Mellon Real Return Fund)</w:t>
      </w:r>
      <w:r w:rsidR="00526E0B" w:rsidRPr="00D170C3">
        <w:rPr>
          <w:rFonts w:eastAsia="Times New Roman" w:cs="Calibri"/>
          <w:color w:val="000000" w:themeColor="text1"/>
          <w:sz w:val="22"/>
          <w:szCs w:val="22"/>
          <w:lang w:val="en-US" w:eastAsia="en-GB"/>
        </w:rPr>
        <w:t xml:space="preserve"> in September 2025. </w:t>
      </w:r>
      <w:r w:rsidRPr="00D170C3">
        <w:rPr>
          <w:rFonts w:eastAsia="Times New Roman" w:cs="Calibri"/>
          <w:color w:val="000000" w:themeColor="text1"/>
          <w:sz w:val="22"/>
          <w:szCs w:val="22"/>
          <w:lang w:val="en-US" w:eastAsia="en-GB"/>
        </w:rPr>
        <w:t xml:space="preserve"> </w:t>
      </w:r>
      <w:r w:rsidRPr="00D170C3">
        <w:rPr>
          <w:rFonts w:cs="Calibri"/>
          <w:color w:val="000000" w:themeColor="text1"/>
          <w:sz w:val="22"/>
          <w:szCs w:val="22"/>
        </w:rPr>
        <w:t>The AMX fund is a passive global equity strategy incorporating ESG tilts, exclusions and decarbonisation targets, focussed on large and mid-cap companies.</w:t>
      </w:r>
    </w:p>
    <w:p w14:paraId="39A0E69F" w14:textId="77777777" w:rsidR="002930E3" w:rsidRPr="00D170C3" w:rsidRDefault="002930E3" w:rsidP="002930E3">
      <w:pPr>
        <w:rPr>
          <w:rFonts w:cs="Calibri"/>
          <w:color w:val="000000" w:themeColor="text1"/>
          <w:sz w:val="22"/>
          <w:szCs w:val="22"/>
        </w:rPr>
      </w:pPr>
    </w:p>
    <w:p w14:paraId="7CB1353B" w14:textId="7F2EA58F" w:rsidR="000667F0" w:rsidRPr="00D170C3" w:rsidRDefault="002930E3" w:rsidP="002930E3">
      <w:pPr>
        <w:rPr>
          <w:rFonts w:cs="Calibri"/>
          <w:color w:val="000000" w:themeColor="text1"/>
          <w:sz w:val="22"/>
          <w:szCs w:val="22"/>
        </w:rPr>
      </w:pPr>
      <w:r w:rsidRPr="00D170C3">
        <w:rPr>
          <w:rFonts w:cs="Calibri"/>
          <w:color w:val="000000" w:themeColor="text1"/>
          <w:sz w:val="22"/>
          <w:szCs w:val="22"/>
        </w:rPr>
        <w:t xml:space="preserve">The investment in the AMX fund came into effect after the end of the scheme reporting year, so it is not covered by this </w:t>
      </w:r>
      <w:r w:rsidR="00D170C3" w:rsidRPr="00D170C3">
        <w:rPr>
          <w:rFonts w:cs="Calibri"/>
          <w:color w:val="000000" w:themeColor="text1"/>
          <w:sz w:val="22"/>
          <w:szCs w:val="22"/>
        </w:rPr>
        <w:t>implementation statement</w:t>
      </w:r>
      <w:r w:rsidRPr="00D170C3">
        <w:rPr>
          <w:rFonts w:cs="Calibri"/>
          <w:color w:val="000000" w:themeColor="text1"/>
          <w:sz w:val="22"/>
          <w:szCs w:val="22"/>
        </w:rPr>
        <w:t xml:space="preserve">.  </w:t>
      </w:r>
      <w:r w:rsidRPr="00D170C3">
        <w:rPr>
          <w:rFonts w:eastAsia="Times New Roman" w:cs="Calibri"/>
          <w:color w:val="000000"/>
          <w:sz w:val="22"/>
          <w:szCs w:val="22"/>
          <w:lang w:eastAsia="en-GB"/>
        </w:rPr>
        <w:t xml:space="preserve">The Trustee invested in the M&amp;G Sustainable Total Return Credit Fund from March 2025, and so the Trustee funds which were divested are included for reporting in this </w:t>
      </w:r>
      <w:r w:rsidR="00D170C3" w:rsidRPr="00D170C3">
        <w:rPr>
          <w:rFonts w:eastAsia="Times New Roman" w:cs="Calibri"/>
          <w:color w:val="000000"/>
          <w:sz w:val="22"/>
          <w:szCs w:val="22"/>
          <w:lang w:eastAsia="en-GB"/>
        </w:rPr>
        <w:t>implementation statement</w:t>
      </w:r>
      <w:r w:rsidRPr="00D170C3">
        <w:rPr>
          <w:rFonts w:eastAsia="Times New Roman" w:cs="Calibri"/>
          <w:color w:val="000000"/>
          <w:sz w:val="22"/>
          <w:szCs w:val="22"/>
          <w:lang w:eastAsia="en-GB"/>
        </w:rPr>
        <w:t xml:space="preserve"> as they were operational for part of the scheme reporting year. </w:t>
      </w:r>
    </w:p>
    <w:p w14:paraId="73D7F2B0" w14:textId="77777777" w:rsidR="000667F0" w:rsidRPr="00D170C3" w:rsidRDefault="000667F0" w:rsidP="002930E3">
      <w:pPr>
        <w:rPr>
          <w:rFonts w:eastAsia="Times New Roman" w:cs="Calibri"/>
          <w:color w:val="000000"/>
          <w:sz w:val="22"/>
          <w:szCs w:val="22"/>
          <w:lang w:eastAsia="en-GB"/>
        </w:rPr>
      </w:pPr>
    </w:p>
    <w:p w14:paraId="2F557C69" w14:textId="5C8E6591" w:rsidR="00526E0B" w:rsidRPr="00D170C3" w:rsidRDefault="002930E3" w:rsidP="00526E0B">
      <w:pPr>
        <w:rPr>
          <w:rFonts w:eastAsia="Times New Roman" w:cs="Calibri"/>
          <w:b/>
          <w:bCs/>
          <w:color w:val="000000"/>
          <w:sz w:val="22"/>
          <w:szCs w:val="22"/>
          <w:lang w:eastAsia="en-GB"/>
        </w:rPr>
      </w:pPr>
      <w:r w:rsidRPr="00D170C3">
        <w:rPr>
          <w:rFonts w:cs="Calibri"/>
          <w:b/>
          <w:bCs/>
          <w:color w:val="000000" w:themeColor="text1"/>
          <w:sz w:val="22"/>
          <w:szCs w:val="22"/>
        </w:rPr>
        <w:t>Consequently the funds invested during the scheme year were follows:</w:t>
      </w:r>
      <w:r w:rsidR="00526E0B" w:rsidRPr="00D170C3">
        <w:rPr>
          <w:rFonts w:eastAsia="Times New Roman" w:cs="Calibri"/>
          <w:b/>
          <w:bCs/>
          <w:color w:val="000000"/>
          <w:sz w:val="22"/>
          <w:szCs w:val="22"/>
          <w:lang w:eastAsia="en-GB"/>
        </w:rPr>
        <w:t xml:space="preserve"> M&amp;G Sustainable Total Return Credit Fund, </w:t>
      </w:r>
      <w:r w:rsidR="00D170C3" w:rsidRPr="00D170C3">
        <w:rPr>
          <w:rFonts w:eastAsia="Times New Roman" w:cs="Calibri"/>
          <w:b/>
          <w:bCs/>
          <w:color w:val="000000"/>
          <w:sz w:val="22"/>
          <w:szCs w:val="22"/>
          <w:lang w:eastAsia="en-GB"/>
        </w:rPr>
        <w:t>L&amp;G</w:t>
      </w:r>
      <w:r w:rsidR="00526E0B" w:rsidRPr="00D170C3">
        <w:rPr>
          <w:rFonts w:eastAsia="Times New Roman" w:cs="Calibri"/>
          <w:b/>
          <w:bCs/>
          <w:color w:val="000000"/>
          <w:sz w:val="22"/>
          <w:szCs w:val="22"/>
          <w:lang w:eastAsia="en-GB"/>
        </w:rPr>
        <w:t xml:space="preserve"> Global Equity Fixed Weights (50-50) Index Fund, Newton Real Return Fund,  </w:t>
      </w:r>
      <w:r w:rsidR="00D170C3" w:rsidRPr="00D170C3">
        <w:rPr>
          <w:rFonts w:eastAsia="Times New Roman" w:cs="Calibri"/>
          <w:b/>
          <w:bCs/>
          <w:color w:val="000000"/>
          <w:sz w:val="22"/>
          <w:szCs w:val="22"/>
          <w:lang w:eastAsia="en-GB"/>
        </w:rPr>
        <w:t>L&amp;G</w:t>
      </w:r>
      <w:r w:rsidR="00526E0B" w:rsidRPr="00D170C3">
        <w:rPr>
          <w:rFonts w:eastAsia="Times New Roman" w:cs="Calibri"/>
          <w:b/>
          <w:bCs/>
          <w:color w:val="000000"/>
          <w:sz w:val="22"/>
          <w:szCs w:val="22"/>
          <w:lang w:eastAsia="en-GB"/>
        </w:rPr>
        <w:t xml:space="preserve"> High Yield Bond Fund, </w:t>
      </w:r>
      <w:r w:rsidR="00D170C3" w:rsidRPr="00D170C3">
        <w:rPr>
          <w:rFonts w:eastAsia="Times New Roman" w:cs="Calibri"/>
          <w:b/>
          <w:bCs/>
          <w:color w:val="000000"/>
          <w:sz w:val="22"/>
          <w:szCs w:val="22"/>
          <w:lang w:eastAsia="en-GB"/>
        </w:rPr>
        <w:t>L&amp;G</w:t>
      </w:r>
      <w:r w:rsidR="00526E0B" w:rsidRPr="00D170C3">
        <w:rPr>
          <w:rFonts w:eastAsia="Times New Roman" w:cs="Calibri"/>
          <w:b/>
          <w:bCs/>
          <w:color w:val="000000"/>
          <w:sz w:val="22"/>
          <w:szCs w:val="22"/>
          <w:lang w:eastAsia="en-GB"/>
        </w:rPr>
        <w:t xml:space="preserve"> Investment Grade Corporate Bond All Stocks, Royal London Asset Management Multi-Asset Credit Fund, CBRE Osiris Property Fund, and the </w:t>
      </w:r>
      <w:r w:rsidR="00D170C3" w:rsidRPr="00D170C3">
        <w:rPr>
          <w:rFonts w:eastAsia="Times New Roman" w:cs="Calibri"/>
          <w:b/>
          <w:bCs/>
          <w:color w:val="000000"/>
          <w:sz w:val="22"/>
          <w:szCs w:val="22"/>
          <w:lang w:eastAsia="en-GB"/>
        </w:rPr>
        <w:t>L&amp;G</w:t>
      </w:r>
      <w:r w:rsidR="00526E0B" w:rsidRPr="00D170C3">
        <w:rPr>
          <w:rFonts w:eastAsia="Times New Roman" w:cs="Calibri"/>
          <w:b/>
          <w:bCs/>
          <w:color w:val="000000"/>
          <w:sz w:val="22"/>
          <w:szCs w:val="22"/>
          <w:lang w:eastAsia="en-GB"/>
        </w:rPr>
        <w:t xml:space="preserve"> LDI portfolio. </w:t>
      </w:r>
    </w:p>
    <w:p w14:paraId="4B574D2E" w14:textId="77777777" w:rsidR="00D012D9" w:rsidRPr="00D170C3" w:rsidRDefault="00D012D9" w:rsidP="00526E0B">
      <w:pPr>
        <w:rPr>
          <w:rFonts w:eastAsia="Times New Roman" w:cs="Calibri"/>
          <w:color w:val="000000"/>
          <w:sz w:val="22"/>
          <w:szCs w:val="22"/>
          <w:lang w:eastAsia="en-GB"/>
        </w:rPr>
      </w:pPr>
    </w:p>
    <w:p w14:paraId="6DAFF811" w14:textId="5B556D1F" w:rsidR="00D012D9" w:rsidRPr="00D170C3" w:rsidRDefault="00D170C3" w:rsidP="00D012D9">
      <w:pPr>
        <w:rPr>
          <w:rFonts w:cs="Calibri"/>
          <w:b/>
          <w:bCs/>
          <w:sz w:val="22"/>
          <w:szCs w:val="22"/>
        </w:rPr>
      </w:pPr>
      <w:r w:rsidRPr="00D170C3">
        <w:rPr>
          <w:rFonts w:cs="Calibri"/>
          <w:b/>
          <w:bCs/>
          <w:sz w:val="22"/>
          <w:szCs w:val="22"/>
        </w:rPr>
        <w:t>2</w:t>
      </w:r>
      <w:r w:rsidR="00D012D9" w:rsidRPr="00D170C3">
        <w:rPr>
          <w:rFonts w:cs="Calibri"/>
          <w:b/>
          <w:bCs/>
          <w:sz w:val="22"/>
          <w:szCs w:val="22"/>
        </w:rPr>
        <w:t>.</w:t>
      </w:r>
      <w:r w:rsidR="00641F3E">
        <w:rPr>
          <w:rFonts w:cs="Calibri"/>
          <w:b/>
          <w:bCs/>
          <w:sz w:val="22"/>
          <w:szCs w:val="22"/>
        </w:rPr>
        <w:t>1</w:t>
      </w:r>
      <w:r w:rsidR="00D012D9" w:rsidRPr="00D170C3">
        <w:rPr>
          <w:rFonts w:cs="Calibri"/>
          <w:b/>
          <w:bCs/>
          <w:sz w:val="22"/>
          <w:szCs w:val="22"/>
        </w:rPr>
        <w:t xml:space="preserve"> The Trustee's policy on engagement and voting rights</w:t>
      </w:r>
    </w:p>
    <w:p w14:paraId="12CC9FBC" w14:textId="77777777" w:rsidR="00D012D9" w:rsidRPr="00D170C3" w:rsidRDefault="00D012D9" w:rsidP="00D012D9">
      <w:pPr>
        <w:rPr>
          <w:rFonts w:cs="Calibri"/>
          <w:sz w:val="22"/>
          <w:szCs w:val="22"/>
        </w:rPr>
      </w:pPr>
      <w:r w:rsidRPr="00D170C3">
        <w:rPr>
          <w:rFonts w:cs="Calibri"/>
          <w:sz w:val="22"/>
          <w:szCs w:val="22"/>
        </w:rPr>
        <w:t>The Statement of Investment Principles (SIP) includes the following:</w:t>
      </w:r>
    </w:p>
    <w:p w14:paraId="4F18B701" w14:textId="77777777" w:rsidR="00D012D9" w:rsidRPr="00D170C3" w:rsidRDefault="00D012D9" w:rsidP="00D012D9">
      <w:pPr>
        <w:pStyle w:val="Default"/>
        <w:rPr>
          <w:sz w:val="22"/>
          <w:szCs w:val="22"/>
        </w:rPr>
      </w:pPr>
      <w:r w:rsidRPr="00D170C3">
        <w:rPr>
          <w:sz w:val="22"/>
          <w:szCs w:val="22"/>
        </w:rPr>
        <w:t xml:space="preserve">"The Trustee believes that good stewardship and positive engagement can lead to improved governance and better risk-adjusted investor returns. </w:t>
      </w:r>
    </w:p>
    <w:p w14:paraId="023174B0" w14:textId="77777777" w:rsidR="00D012D9" w:rsidRPr="00D170C3" w:rsidRDefault="00D012D9" w:rsidP="00D012D9">
      <w:pPr>
        <w:autoSpaceDE w:val="0"/>
        <w:autoSpaceDN w:val="0"/>
        <w:adjustRightInd w:val="0"/>
        <w:rPr>
          <w:rFonts w:cs="Calibri"/>
          <w:color w:val="000000"/>
          <w:sz w:val="22"/>
          <w:szCs w:val="22"/>
        </w:rPr>
      </w:pPr>
      <w:r w:rsidRPr="00D170C3">
        <w:rPr>
          <w:rFonts w:cs="Calibri"/>
          <w:color w:val="000000"/>
          <w:sz w:val="22"/>
          <w:szCs w:val="22"/>
        </w:rPr>
        <w:t xml:space="preserve">"The Trustee currently has no alternative but to delegate the exercise of the rights (including voting rights) attaching to the Scheme’s investments to the investment managers, who are signatories to the UK Stewardship Code or equivalent. The Trustee expects that the investment managers will use their influence as major institutional investors to exercise the Trustee’s rights and duties as shareholders, including where appropriate engaging with underlying investee companies to promote good corporate governance, accountability and to understand how those companies take account of ESG issues in their businesses. </w:t>
      </w:r>
    </w:p>
    <w:p w14:paraId="3E5636D0" w14:textId="77777777" w:rsidR="00D012D9" w:rsidRPr="00D170C3" w:rsidRDefault="00D012D9" w:rsidP="00D012D9">
      <w:pPr>
        <w:autoSpaceDE w:val="0"/>
        <w:autoSpaceDN w:val="0"/>
        <w:adjustRightInd w:val="0"/>
        <w:rPr>
          <w:rFonts w:cs="Calibri"/>
          <w:color w:val="000000"/>
          <w:sz w:val="22"/>
          <w:szCs w:val="22"/>
        </w:rPr>
      </w:pPr>
    </w:p>
    <w:p w14:paraId="0C81B038" w14:textId="77777777" w:rsidR="00D012D9" w:rsidRPr="00D170C3" w:rsidRDefault="00D012D9" w:rsidP="00D012D9">
      <w:pPr>
        <w:pStyle w:val="Default"/>
        <w:rPr>
          <w:sz w:val="22"/>
          <w:szCs w:val="22"/>
        </w:rPr>
      </w:pPr>
      <w:r w:rsidRPr="00D170C3">
        <w:rPr>
          <w:sz w:val="22"/>
          <w:szCs w:val="22"/>
        </w:rPr>
        <w:t xml:space="preserve">"The Trustee has adopted the Red Line Voting policies published by the Association of Member Nominated Trustees as an appropriate set of policies that the Trustee wishes to guide their fund managers in the stewardship of their investments. To date, the fund managers have been reluctant to accept these policies and until </w:t>
      </w:r>
      <w:proofErr w:type="gramStart"/>
      <w:r w:rsidRPr="00D170C3">
        <w:rPr>
          <w:sz w:val="22"/>
          <w:szCs w:val="22"/>
        </w:rPr>
        <w:t>this changes</w:t>
      </w:r>
      <w:proofErr w:type="gramEnd"/>
      <w:r w:rsidRPr="00D170C3">
        <w:rPr>
          <w:sz w:val="22"/>
          <w:szCs w:val="22"/>
        </w:rPr>
        <w:t xml:space="preserve">, the Trustee has no option but to allow the investment managers to continue exercising the investment rights attaching to the assets in any pooled funds according to their own policies. The Trustee will endeavour to hold the managers to account in relation to the exercising of these investment rights. </w:t>
      </w:r>
    </w:p>
    <w:p w14:paraId="665218FA" w14:textId="77777777" w:rsidR="00D012D9" w:rsidRPr="00D170C3" w:rsidRDefault="00D012D9" w:rsidP="00D012D9">
      <w:pPr>
        <w:autoSpaceDE w:val="0"/>
        <w:autoSpaceDN w:val="0"/>
        <w:adjustRightInd w:val="0"/>
        <w:rPr>
          <w:rFonts w:cs="Calibri"/>
          <w:color w:val="000000"/>
          <w:sz w:val="22"/>
          <w:szCs w:val="22"/>
        </w:rPr>
      </w:pPr>
      <w:r w:rsidRPr="00D170C3">
        <w:rPr>
          <w:rFonts w:cs="Calibri"/>
          <w:color w:val="000000"/>
          <w:sz w:val="22"/>
          <w:szCs w:val="22"/>
        </w:rPr>
        <w:t xml:space="preserve">"The Trustee will monitor and engage with the investment managers about relevant matters (including matters concerning an issuer of debt or equity, including their performance, strategy, capital structure, management of actual or potential conflicts of interest, risks, social and environmental impact and corporate governance), through the Scheme's investment consultant. </w:t>
      </w:r>
    </w:p>
    <w:p w14:paraId="76951758" w14:textId="77777777" w:rsidR="00D012D9" w:rsidRPr="00D170C3" w:rsidRDefault="00D012D9" w:rsidP="00D012D9">
      <w:pPr>
        <w:autoSpaceDE w:val="0"/>
        <w:autoSpaceDN w:val="0"/>
        <w:adjustRightInd w:val="0"/>
        <w:rPr>
          <w:rFonts w:cs="Calibri"/>
          <w:color w:val="000000"/>
          <w:sz w:val="22"/>
          <w:szCs w:val="22"/>
        </w:rPr>
      </w:pPr>
    </w:p>
    <w:p w14:paraId="7D929624" w14:textId="3F00F7C6" w:rsidR="00526E0B" w:rsidRPr="00D170C3" w:rsidRDefault="00D012D9" w:rsidP="00D170C3">
      <w:pPr>
        <w:pStyle w:val="Default"/>
        <w:rPr>
          <w:b/>
          <w:bCs/>
          <w:sz w:val="22"/>
          <w:szCs w:val="22"/>
        </w:rPr>
      </w:pPr>
      <w:r w:rsidRPr="00D170C3">
        <w:rPr>
          <w:sz w:val="22"/>
          <w:szCs w:val="22"/>
        </w:rPr>
        <w:t xml:space="preserve">"Investment managers will be asked to provide details of their stewardship policy and engagement activities on at least an annual basis. The Trustee will, with input from their investment consultant, monitor and review the information provided by the investment managers. Where possible and appropriate, the Trustee will engage with their investment managers for more information, and ask </w:t>
      </w:r>
      <w:r w:rsidRPr="00D170C3">
        <w:rPr>
          <w:sz w:val="22"/>
          <w:szCs w:val="22"/>
        </w:rPr>
        <w:lastRenderedPageBreak/>
        <w:t>them to confirm that their policies comply with the principles set out in the Financial Reporting Council’s UK Stewardship Code, and ask them to explain why their policies and/or voting activities are not in alignment with those of the Trustee if that should be the case."</w:t>
      </w:r>
    </w:p>
    <w:p w14:paraId="25212986" w14:textId="77777777" w:rsidR="00D012D9" w:rsidRPr="00D170C3" w:rsidRDefault="00D012D9" w:rsidP="00D012D9">
      <w:pPr>
        <w:rPr>
          <w:rFonts w:cs="Calibri"/>
          <w:b/>
          <w:bCs/>
          <w:color w:val="000000" w:themeColor="text1"/>
          <w:sz w:val="22"/>
          <w:szCs w:val="22"/>
        </w:rPr>
      </w:pPr>
    </w:p>
    <w:p w14:paraId="0442C5A9" w14:textId="27D0C114" w:rsidR="00D012D9" w:rsidRPr="00D170C3" w:rsidRDefault="00D012D9" w:rsidP="00D012D9">
      <w:pPr>
        <w:rPr>
          <w:rFonts w:cs="Calibri"/>
          <w:b/>
          <w:bCs/>
          <w:sz w:val="22"/>
          <w:szCs w:val="22"/>
        </w:rPr>
      </w:pPr>
      <w:r w:rsidRPr="00D170C3">
        <w:rPr>
          <w:rFonts w:cs="Calibri"/>
          <w:b/>
          <w:bCs/>
          <w:sz w:val="22"/>
          <w:szCs w:val="22"/>
        </w:rPr>
        <w:t>2.</w:t>
      </w:r>
      <w:r w:rsidR="00641F3E">
        <w:rPr>
          <w:rFonts w:cs="Calibri"/>
          <w:b/>
          <w:bCs/>
          <w:sz w:val="22"/>
          <w:szCs w:val="22"/>
        </w:rPr>
        <w:t>2</w:t>
      </w:r>
      <w:r w:rsidRPr="00D170C3">
        <w:rPr>
          <w:rFonts w:cs="Calibri"/>
          <w:b/>
          <w:bCs/>
          <w:sz w:val="22"/>
          <w:szCs w:val="22"/>
        </w:rPr>
        <w:t xml:space="preserve"> Fund managers</w:t>
      </w:r>
      <w:r w:rsidR="00D170C3" w:rsidRPr="00D170C3">
        <w:rPr>
          <w:rFonts w:cs="Calibri"/>
          <w:b/>
          <w:bCs/>
          <w:sz w:val="22"/>
          <w:szCs w:val="22"/>
        </w:rPr>
        <w:t>'</w:t>
      </w:r>
      <w:r w:rsidRPr="00D170C3">
        <w:rPr>
          <w:rFonts w:cs="Calibri"/>
          <w:b/>
          <w:bCs/>
          <w:sz w:val="22"/>
          <w:szCs w:val="22"/>
        </w:rPr>
        <w:t xml:space="preserve"> position on accepting the Trustee's voting policy</w:t>
      </w:r>
    </w:p>
    <w:p w14:paraId="485FA385" w14:textId="035C5249" w:rsidR="00D170C3" w:rsidRPr="00D170C3" w:rsidRDefault="00D170C3" w:rsidP="00D170C3">
      <w:pPr>
        <w:pStyle w:val="Default"/>
        <w:rPr>
          <w:sz w:val="22"/>
          <w:szCs w:val="22"/>
        </w:rPr>
      </w:pPr>
      <w:r w:rsidRPr="00D170C3">
        <w:rPr>
          <w:sz w:val="22"/>
          <w:szCs w:val="22"/>
        </w:rPr>
        <w:t xml:space="preserve">The equities fund managers had previously refused to honour the Red Line Voting policy adopted by the BSRS. The corporate directors agree with the government and The Pensions Regulator on the importance of having a voting policy as it sets out the Trustee's views on how fund managers should engage with, and vote at the AGMs of, companies in which the scheme invests, on a range of matters covering environmental (including climate change), social and governance issues. Even where fund managers refuse to act </w:t>
      </w:r>
      <w:proofErr w:type="gramStart"/>
      <w:r w:rsidRPr="00D170C3">
        <w:rPr>
          <w:sz w:val="22"/>
          <w:szCs w:val="22"/>
        </w:rPr>
        <w:t>on the basis of</w:t>
      </w:r>
      <w:proofErr w:type="gramEnd"/>
      <w:r w:rsidRPr="00D170C3">
        <w:rPr>
          <w:sz w:val="22"/>
          <w:szCs w:val="22"/>
        </w:rPr>
        <w:t xml:space="preserve"> the client's voting policy, it can still be used as a benchmark to hold the fund managers to account. </w:t>
      </w:r>
    </w:p>
    <w:p w14:paraId="5742D78C" w14:textId="77777777" w:rsidR="00D170C3" w:rsidRPr="00D170C3" w:rsidRDefault="00D170C3" w:rsidP="00D170C3">
      <w:pPr>
        <w:pStyle w:val="Default"/>
        <w:rPr>
          <w:sz w:val="22"/>
          <w:szCs w:val="22"/>
        </w:rPr>
      </w:pPr>
    </w:p>
    <w:p w14:paraId="49C22715" w14:textId="386234F5" w:rsidR="00D170C3" w:rsidRPr="00D170C3" w:rsidRDefault="00D170C3" w:rsidP="00D170C3">
      <w:pPr>
        <w:pStyle w:val="Default"/>
        <w:rPr>
          <w:sz w:val="22"/>
          <w:szCs w:val="22"/>
        </w:rPr>
      </w:pPr>
      <w:r w:rsidRPr="00D170C3">
        <w:rPr>
          <w:sz w:val="22"/>
          <w:szCs w:val="22"/>
        </w:rPr>
        <w:t xml:space="preserve">As set out above, the Trustee has now divested from </w:t>
      </w:r>
      <w:proofErr w:type="gramStart"/>
      <w:r w:rsidRPr="00D170C3">
        <w:rPr>
          <w:sz w:val="22"/>
          <w:szCs w:val="22"/>
        </w:rPr>
        <w:t>both of the equities</w:t>
      </w:r>
      <w:proofErr w:type="gramEnd"/>
      <w:r w:rsidRPr="00D170C3">
        <w:rPr>
          <w:sz w:val="22"/>
          <w:szCs w:val="22"/>
        </w:rPr>
        <w:t xml:space="preserve"> funds and invested in a fund that offers voting in accordance with the Trustee's voting policy. </w:t>
      </w:r>
    </w:p>
    <w:p w14:paraId="6EA2C593" w14:textId="77777777" w:rsidR="00D170C3" w:rsidRPr="00D170C3" w:rsidRDefault="00D170C3" w:rsidP="00D170C3">
      <w:pPr>
        <w:pStyle w:val="Default"/>
        <w:rPr>
          <w:sz w:val="22"/>
          <w:szCs w:val="22"/>
        </w:rPr>
      </w:pPr>
    </w:p>
    <w:p w14:paraId="1949664E" w14:textId="77777777" w:rsidR="00D170C3" w:rsidRPr="00D170C3" w:rsidRDefault="00D170C3" w:rsidP="00D170C3">
      <w:pPr>
        <w:pStyle w:val="Default"/>
        <w:rPr>
          <w:sz w:val="22"/>
          <w:szCs w:val="22"/>
        </w:rPr>
      </w:pPr>
    </w:p>
    <w:p w14:paraId="4D5E3446" w14:textId="320845D6" w:rsidR="00D170C3" w:rsidRPr="00D170C3" w:rsidRDefault="00D170C3" w:rsidP="00D170C3">
      <w:pPr>
        <w:rPr>
          <w:rFonts w:cs="Calibri"/>
          <w:b/>
          <w:bCs/>
          <w:sz w:val="22"/>
          <w:szCs w:val="22"/>
        </w:rPr>
      </w:pPr>
      <w:r w:rsidRPr="00D170C3">
        <w:rPr>
          <w:rFonts w:cs="Calibri"/>
          <w:b/>
          <w:bCs/>
          <w:sz w:val="22"/>
          <w:szCs w:val="22"/>
        </w:rPr>
        <w:t>M&amp;G</w:t>
      </w:r>
    </w:p>
    <w:p w14:paraId="51344FAF" w14:textId="021C8622" w:rsidR="00D012D9" w:rsidRPr="00D170C3" w:rsidRDefault="00D012D9" w:rsidP="00D012D9">
      <w:pPr>
        <w:rPr>
          <w:rFonts w:cs="Calibri"/>
          <w:color w:val="000000" w:themeColor="text1"/>
          <w:sz w:val="22"/>
          <w:szCs w:val="22"/>
        </w:rPr>
      </w:pPr>
      <w:r w:rsidRPr="00D170C3">
        <w:rPr>
          <w:rFonts w:cs="Calibri"/>
          <w:color w:val="000000"/>
          <w:sz w:val="22"/>
          <w:szCs w:val="22"/>
        </w:rPr>
        <w:t xml:space="preserve">While M&amp;G </w:t>
      </w:r>
      <w:r w:rsidRPr="00D170C3">
        <w:rPr>
          <w:rFonts w:cs="Calibri"/>
          <w:sz w:val="22"/>
          <w:szCs w:val="22"/>
        </w:rPr>
        <w:t xml:space="preserve">Sustainable Total Return Credit Investment Fund is not an equity investment fund, it is nevertheless important that in its stewardship of the pension fund assets it acts in accordance with the Trustee's ESG policies. </w:t>
      </w:r>
      <w:r w:rsidRPr="00D170C3">
        <w:rPr>
          <w:rFonts w:cs="Calibri"/>
          <w:color w:val="000000"/>
          <w:sz w:val="22"/>
          <w:szCs w:val="22"/>
        </w:rPr>
        <w:t xml:space="preserve">Prior to investing in </w:t>
      </w:r>
      <w:r w:rsidR="00D170C3" w:rsidRPr="00D170C3">
        <w:rPr>
          <w:rFonts w:cs="Calibri"/>
          <w:color w:val="000000"/>
          <w:sz w:val="22"/>
          <w:szCs w:val="22"/>
        </w:rPr>
        <w:t xml:space="preserve">the </w:t>
      </w:r>
      <w:proofErr w:type="gramStart"/>
      <w:r w:rsidR="00D170C3" w:rsidRPr="00D170C3">
        <w:rPr>
          <w:rFonts w:cs="Calibri"/>
          <w:color w:val="000000"/>
          <w:sz w:val="22"/>
          <w:szCs w:val="22"/>
        </w:rPr>
        <w:t>fund</w:t>
      </w:r>
      <w:proofErr w:type="gramEnd"/>
      <w:r w:rsidRPr="00D170C3">
        <w:rPr>
          <w:rFonts w:cs="Calibri"/>
          <w:color w:val="000000"/>
          <w:sz w:val="22"/>
          <w:szCs w:val="22"/>
        </w:rPr>
        <w:t xml:space="preserve"> the board held discussions with M&amp;G and sought and received assurances about cooperation with the board's stewardship agenda.</w:t>
      </w:r>
      <w:r w:rsidRPr="00D170C3">
        <w:rPr>
          <w:rFonts w:cs="Calibri"/>
          <w:sz w:val="22"/>
          <w:szCs w:val="22"/>
        </w:rPr>
        <w:t xml:space="preserve"> </w:t>
      </w:r>
      <w:r w:rsidRPr="00D170C3">
        <w:rPr>
          <w:rFonts w:cs="Calibri"/>
          <w:color w:val="000000" w:themeColor="text1"/>
          <w:sz w:val="22"/>
          <w:szCs w:val="22"/>
        </w:rPr>
        <w:t>The Trustee welcomed the statement in the M&amp;G annual report: "Ensuring that we are meeting our clients’ needs is an ongoing process of discovery, planning and implementation. We are cognisant of various industry policies and standards – including industry-wide voting and engagement reporting templates – and are often involved in their development."</w:t>
      </w:r>
    </w:p>
    <w:p w14:paraId="43D65A96" w14:textId="77777777" w:rsidR="00D170C3" w:rsidRPr="00D170C3" w:rsidRDefault="00D170C3" w:rsidP="00D012D9">
      <w:pPr>
        <w:rPr>
          <w:rFonts w:cs="Calibri"/>
          <w:color w:val="000000" w:themeColor="text1"/>
          <w:sz w:val="22"/>
          <w:szCs w:val="22"/>
        </w:rPr>
      </w:pPr>
    </w:p>
    <w:p w14:paraId="00ECFF05" w14:textId="6A50861C" w:rsidR="00D170C3" w:rsidRPr="00D170C3" w:rsidRDefault="00D170C3" w:rsidP="00D012D9">
      <w:pPr>
        <w:rPr>
          <w:rFonts w:cs="Calibri"/>
          <w:color w:val="000000" w:themeColor="text1"/>
          <w:sz w:val="22"/>
          <w:szCs w:val="22"/>
        </w:rPr>
      </w:pPr>
      <w:r w:rsidRPr="00D170C3">
        <w:rPr>
          <w:rFonts w:cs="Calibri"/>
          <w:sz w:val="22"/>
          <w:szCs w:val="22"/>
        </w:rPr>
        <w:t xml:space="preserve">The Trustee asked M&amp;G to indicate how they approach our policy priorities in the context of this fund and whether they had raised any of these issues with the issuers. M&amp;G thanked the Trustee </w:t>
      </w:r>
    </w:p>
    <w:p w14:paraId="4305803F" w14:textId="439AE058"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for taking the time to read the M&amp;G Stewardship Report and their Engagement &amp; Voting Policies. M&amp;G recognised the importance of these issues and welcomed the opportunity to explain how they are addressed within M&amp;G’s stewardship framework, particularly in the context of a corporate bond fund where they do not hold shareholder voting rights. </w:t>
      </w:r>
    </w:p>
    <w:p w14:paraId="2416F28B" w14:textId="77777777" w:rsidR="00D170C3" w:rsidRPr="00D170C3" w:rsidRDefault="00D170C3" w:rsidP="00D170C3">
      <w:pPr>
        <w:autoSpaceDE w:val="0"/>
        <w:autoSpaceDN w:val="0"/>
        <w:adjustRightInd w:val="0"/>
        <w:rPr>
          <w:rFonts w:cs="Calibri"/>
          <w:color w:val="000000"/>
          <w:sz w:val="22"/>
          <w:szCs w:val="22"/>
        </w:rPr>
      </w:pPr>
    </w:p>
    <w:p w14:paraId="74B04E20" w14:textId="5B672D96"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M&amp;G has developed its own stewardship approach, underpinned by their Voting Policy and Engagement Policy and firm-wide Stewardship &amp; Sustainability (S&amp;S) function. This central S&amp;S team sets expectations on environmental and social issues for all investment teams and supports both equity and corporate bonds stewardship across the firm. </w:t>
      </w:r>
    </w:p>
    <w:p w14:paraId="0EFC5170" w14:textId="77777777" w:rsidR="00D170C3" w:rsidRPr="00D170C3" w:rsidRDefault="00D170C3" w:rsidP="00D170C3">
      <w:pPr>
        <w:autoSpaceDE w:val="0"/>
        <w:autoSpaceDN w:val="0"/>
        <w:adjustRightInd w:val="0"/>
        <w:rPr>
          <w:rFonts w:cs="Calibri"/>
          <w:color w:val="000000"/>
          <w:sz w:val="22"/>
          <w:szCs w:val="22"/>
        </w:rPr>
      </w:pPr>
    </w:p>
    <w:p w14:paraId="4515D9A3" w14:textId="4756F5CA"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Historically, their engagement policy had been written with listed equities in </w:t>
      </w:r>
      <w:proofErr w:type="gramStart"/>
      <w:r w:rsidRPr="00D170C3">
        <w:rPr>
          <w:rFonts w:cs="Calibri"/>
          <w:color w:val="000000"/>
          <w:sz w:val="22"/>
          <w:szCs w:val="22"/>
        </w:rPr>
        <w:t>mind</w:t>
      </w:r>
      <w:proofErr w:type="gramEnd"/>
      <w:r w:rsidRPr="00D170C3">
        <w:rPr>
          <w:rFonts w:cs="Calibri"/>
          <w:color w:val="000000"/>
          <w:sz w:val="22"/>
          <w:szCs w:val="22"/>
        </w:rPr>
        <w:t xml:space="preserve"> but M&amp;G stated that increasingly they have been engaging with corporate bond holdings as well, so they have updated their engagement policy which sets out how they engage with investee companies which are corporate bond holdings only. The main difference is that engagement tends to be with executive management rather than including the wider board of non-executive directors on equity related matters. </w:t>
      </w:r>
    </w:p>
    <w:p w14:paraId="601F6C49" w14:textId="77777777" w:rsidR="00D170C3" w:rsidRPr="00D170C3" w:rsidRDefault="00D170C3" w:rsidP="00D170C3">
      <w:pPr>
        <w:autoSpaceDE w:val="0"/>
        <w:autoSpaceDN w:val="0"/>
        <w:adjustRightInd w:val="0"/>
        <w:rPr>
          <w:rFonts w:cs="Calibri"/>
          <w:color w:val="000000"/>
          <w:sz w:val="22"/>
          <w:szCs w:val="22"/>
        </w:rPr>
      </w:pPr>
    </w:p>
    <w:p w14:paraId="724B1981" w14:textId="02ABD07D"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The asset manager stated that the themes prioritised within the AMNT Red Line policy – labour rights, board diversity, equality monitoring, fair pay, executive remuneration structures and Living Wage considerations – are also areas of focus for them. They therefore see strong philosophical alignment in the issues considered material to long term value and to responsible investment outcomes. </w:t>
      </w:r>
    </w:p>
    <w:p w14:paraId="41E29673" w14:textId="77777777" w:rsidR="00D170C3" w:rsidRPr="00D170C3" w:rsidRDefault="00D170C3" w:rsidP="00D170C3">
      <w:pPr>
        <w:autoSpaceDE w:val="0"/>
        <w:autoSpaceDN w:val="0"/>
        <w:adjustRightInd w:val="0"/>
        <w:rPr>
          <w:rFonts w:cs="Calibri"/>
          <w:color w:val="000000"/>
          <w:sz w:val="22"/>
          <w:szCs w:val="22"/>
        </w:rPr>
      </w:pPr>
    </w:p>
    <w:p w14:paraId="461E5B28" w14:textId="58393EDB"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They saw strong alignment between the Trustee policy and those of M&amp;G on most areas, but where there is partial </w:t>
      </w:r>
      <w:proofErr w:type="gramStart"/>
      <w:r w:rsidRPr="00D170C3">
        <w:rPr>
          <w:rFonts w:cs="Calibri"/>
          <w:color w:val="000000"/>
          <w:sz w:val="22"/>
          <w:szCs w:val="22"/>
        </w:rPr>
        <w:t>alignment</w:t>
      </w:r>
      <w:proofErr w:type="gramEnd"/>
      <w:r w:rsidRPr="00D170C3">
        <w:rPr>
          <w:rFonts w:cs="Calibri"/>
          <w:color w:val="000000"/>
          <w:sz w:val="22"/>
          <w:szCs w:val="22"/>
        </w:rPr>
        <w:t xml:space="preserve"> it relates more to a difference of methods rather than a disagreement about the underlying issues. They would describe M&amp;G’s approach as more principles-based than rules-based.</w:t>
      </w:r>
    </w:p>
    <w:p w14:paraId="1D66E666" w14:textId="77777777" w:rsidR="00D170C3" w:rsidRPr="00D170C3" w:rsidRDefault="00D170C3" w:rsidP="00D170C3">
      <w:pPr>
        <w:autoSpaceDE w:val="0"/>
        <w:autoSpaceDN w:val="0"/>
        <w:adjustRightInd w:val="0"/>
        <w:rPr>
          <w:rFonts w:cs="Calibri"/>
          <w:color w:val="000000"/>
          <w:sz w:val="22"/>
          <w:szCs w:val="22"/>
        </w:rPr>
      </w:pPr>
    </w:p>
    <w:p w14:paraId="22D67ED4" w14:textId="2CB28E4C" w:rsidR="00D012D9"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 xml:space="preserve">As this fund has no shareholder rights, stewardship relating to the issuers within the portfolio is delivered at firm-level, where M&amp;G stated they prioritise material risks and develop clear escalation pathways. </w:t>
      </w:r>
    </w:p>
    <w:p w14:paraId="2FF0E798" w14:textId="77777777" w:rsidR="00D012D9" w:rsidRPr="00D170C3" w:rsidRDefault="00D012D9" w:rsidP="00D012D9">
      <w:pPr>
        <w:rPr>
          <w:rFonts w:cs="Calibri"/>
          <w:b/>
          <w:bCs/>
          <w:sz w:val="22"/>
          <w:szCs w:val="22"/>
        </w:rPr>
      </w:pPr>
    </w:p>
    <w:p w14:paraId="4CC26B38" w14:textId="6C19ADF3" w:rsidR="00D012D9" w:rsidRPr="00D170C3" w:rsidRDefault="00D012D9" w:rsidP="002930E3">
      <w:pPr>
        <w:rPr>
          <w:rFonts w:cs="Calibri"/>
          <w:b/>
          <w:bCs/>
          <w:sz w:val="22"/>
          <w:szCs w:val="22"/>
        </w:rPr>
      </w:pPr>
      <w:r w:rsidRPr="00D170C3">
        <w:rPr>
          <w:rFonts w:cs="Calibri"/>
          <w:b/>
          <w:bCs/>
          <w:sz w:val="22"/>
          <w:szCs w:val="22"/>
        </w:rPr>
        <w:t>3. Voting and engagement: equity managers</w:t>
      </w:r>
    </w:p>
    <w:p w14:paraId="6432F7F3" w14:textId="77777777" w:rsidR="00D012D9" w:rsidRPr="00D170C3" w:rsidRDefault="00D012D9" w:rsidP="002930E3">
      <w:pPr>
        <w:rPr>
          <w:rFonts w:cs="Calibri"/>
          <w:b/>
          <w:bCs/>
          <w:sz w:val="22"/>
          <w:szCs w:val="22"/>
        </w:rPr>
      </w:pPr>
    </w:p>
    <w:p w14:paraId="09F73785" w14:textId="2F3D2F1B" w:rsidR="00D012D9" w:rsidRPr="00D170C3" w:rsidRDefault="00D170C3" w:rsidP="002930E3">
      <w:pPr>
        <w:rPr>
          <w:rFonts w:cs="Calibri"/>
          <w:sz w:val="22"/>
          <w:szCs w:val="22"/>
        </w:rPr>
      </w:pPr>
      <w:r w:rsidRPr="00D170C3">
        <w:rPr>
          <w:rFonts w:cs="Calibri"/>
          <w:sz w:val="22"/>
          <w:szCs w:val="22"/>
        </w:rPr>
        <w:t xml:space="preserve">3.1 </w:t>
      </w:r>
      <w:r w:rsidR="00D012D9" w:rsidRPr="00D170C3">
        <w:rPr>
          <w:rFonts w:cs="Calibri"/>
          <w:sz w:val="22"/>
          <w:szCs w:val="22"/>
        </w:rPr>
        <w:t xml:space="preserve">The BSRS </w:t>
      </w:r>
      <w:r w:rsidRPr="00D170C3">
        <w:rPr>
          <w:rFonts w:cs="Calibri"/>
          <w:sz w:val="22"/>
          <w:szCs w:val="22"/>
        </w:rPr>
        <w:t xml:space="preserve">was </w:t>
      </w:r>
      <w:r w:rsidR="00D012D9" w:rsidRPr="00D170C3">
        <w:rPr>
          <w:rFonts w:cs="Calibri"/>
          <w:sz w:val="22"/>
          <w:szCs w:val="22"/>
        </w:rPr>
        <w:t>invested in the following funds</w:t>
      </w:r>
      <w:r w:rsidRPr="00D170C3">
        <w:rPr>
          <w:rFonts w:cs="Calibri"/>
          <w:sz w:val="22"/>
          <w:szCs w:val="22"/>
        </w:rPr>
        <w:t xml:space="preserve"> for part of the period in question</w:t>
      </w:r>
      <w:r w:rsidR="00D012D9" w:rsidRPr="00D170C3">
        <w:rPr>
          <w:rFonts w:cs="Calibri"/>
          <w:sz w:val="22"/>
          <w:szCs w:val="22"/>
        </w:rPr>
        <w:t xml:space="preserve">: </w:t>
      </w:r>
    </w:p>
    <w:p w14:paraId="636002CF" w14:textId="3F575284" w:rsidR="00D012D9" w:rsidRPr="00D170C3" w:rsidRDefault="00D170C3" w:rsidP="002930E3">
      <w:pPr>
        <w:rPr>
          <w:rFonts w:eastAsia="Times New Roman" w:cs="Calibri"/>
          <w:b/>
          <w:bCs/>
          <w:color w:val="000000"/>
          <w:sz w:val="22"/>
          <w:szCs w:val="22"/>
          <w:lang w:eastAsia="en-GB"/>
        </w:rPr>
      </w:pPr>
      <w:r w:rsidRPr="00D170C3">
        <w:rPr>
          <w:rFonts w:eastAsia="Times New Roman" w:cs="Calibri"/>
          <w:b/>
          <w:bCs/>
          <w:color w:val="000000"/>
          <w:sz w:val="22"/>
          <w:szCs w:val="22"/>
          <w:lang w:eastAsia="en-GB"/>
        </w:rPr>
        <w:t>L&amp;G</w:t>
      </w:r>
      <w:r w:rsidR="00D012D9" w:rsidRPr="00D170C3">
        <w:rPr>
          <w:rFonts w:eastAsia="Times New Roman" w:cs="Calibri"/>
          <w:b/>
          <w:bCs/>
          <w:color w:val="000000"/>
          <w:sz w:val="22"/>
          <w:szCs w:val="22"/>
          <w:lang w:eastAsia="en-GB"/>
        </w:rPr>
        <w:t xml:space="preserve"> Global Equity Fixed Weights (50-50) Index Fund</w:t>
      </w:r>
    </w:p>
    <w:p w14:paraId="0291F907" w14:textId="4BF5DE7D" w:rsidR="00D012D9" w:rsidRPr="00D170C3" w:rsidRDefault="00D012D9" w:rsidP="002930E3">
      <w:pPr>
        <w:rPr>
          <w:rFonts w:eastAsia="Times New Roman" w:cs="Calibri"/>
          <w:b/>
          <w:bCs/>
          <w:color w:val="000000"/>
          <w:sz w:val="22"/>
          <w:szCs w:val="22"/>
          <w:lang w:eastAsia="en-GB"/>
        </w:rPr>
      </w:pPr>
      <w:r w:rsidRPr="00D170C3">
        <w:rPr>
          <w:rFonts w:eastAsia="Times New Roman" w:cs="Calibri"/>
          <w:b/>
          <w:bCs/>
          <w:color w:val="000000"/>
          <w:sz w:val="22"/>
          <w:szCs w:val="22"/>
          <w:lang w:eastAsia="en-GB"/>
        </w:rPr>
        <w:t>Newton Real Return Fund</w:t>
      </w:r>
    </w:p>
    <w:p w14:paraId="6860BBB0" w14:textId="77777777" w:rsidR="00D170C3" w:rsidRPr="00D170C3" w:rsidRDefault="00D170C3" w:rsidP="00D170C3">
      <w:pPr>
        <w:pStyle w:val="Default"/>
        <w:rPr>
          <w:b/>
          <w:bCs/>
          <w:sz w:val="22"/>
          <w:szCs w:val="22"/>
        </w:rPr>
      </w:pPr>
    </w:p>
    <w:p w14:paraId="2BDE15AB" w14:textId="620D4F4A" w:rsidR="00D170C3" w:rsidRPr="00D170C3" w:rsidRDefault="00D170C3" w:rsidP="00D170C3">
      <w:pPr>
        <w:pStyle w:val="Default"/>
        <w:rPr>
          <w:b/>
          <w:bCs/>
          <w:sz w:val="22"/>
          <w:szCs w:val="22"/>
        </w:rPr>
      </w:pPr>
      <w:r w:rsidRPr="00D170C3">
        <w:rPr>
          <w:b/>
          <w:bCs/>
          <w:sz w:val="22"/>
          <w:szCs w:val="22"/>
        </w:rPr>
        <w:t>3.2 Climate change</w:t>
      </w:r>
    </w:p>
    <w:p w14:paraId="534A8312" w14:textId="2C619AD0" w:rsidR="00D170C3" w:rsidRPr="00D170C3" w:rsidRDefault="00D170C3" w:rsidP="00D170C3">
      <w:pPr>
        <w:pStyle w:val="Default"/>
        <w:rPr>
          <w:b/>
          <w:bCs/>
          <w:sz w:val="22"/>
          <w:szCs w:val="22"/>
        </w:rPr>
      </w:pPr>
      <w:r w:rsidRPr="00D170C3">
        <w:rPr>
          <w:b/>
          <w:bCs/>
          <w:sz w:val="22"/>
          <w:szCs w:val="22"/>
        </w:rPr>
        <w:t>L&amp;G</w:t>
      </w:r>
    </w:p>
    <w:p w14:paraId="5401F136" w14:textId="3AA468ED" w:rsidR="00D170C3" w:rsidRPr="00D170C3" w:rsidRDefault="00D170C3" w:rsidP="00D170C3">
      <w:pPr>
        <w:pStyle w:val="Default"/>
        <w:rPr>
          <w:b/>
          <w:bCs/>
          <w:sz w:val="22"/>
          <w:szCs w:val="22"/>
        </w:rPr>
      </w:pPr>
      <w:r w:rsidRPr="00D170C3">
        <w:rPr>
          <w:color w:val="000000" w:themeColor="text1"/>
          <w:sz w:val="22"/>
          <w:szCs w:val="22"/>
        </w:rPr>
        <w:t>The Trustee welcomed L&amp;G's continuing commitment to fighting climate change and recognition that, as stated in their 2024 climate impact pledge: "The pace of transition is neither fast enough nor smooth enough, in our view. That is clear from our assessments and engagements since we launched the CIP in 2016." The Trustee noted that one of L&amp;G's top global investment stewardship themes is framed as "Keeping 1.5</w:t>
      </w:r>
      <w:r w:rsidRPr="00D170C3">
        <w:rPr>
          <w:color w:val="000000" w:themeColor="text1"/>
          <w:sz w:val="22"/>
          <w:szCs w:val="22"/>
        </w:rPr>
        <w:sym w:font="Symbol" w:char="F0B0"/>
      </w:r>
      <w:r w:rsidRPr="00D170C3">
        <w:rPr>
          <w:color w:val="000000" w:themeColor="text1"/>
          <w:sz w:val="22"/>
          <w:szCs w:val="22"/>
        </w:rPr>
        <w:t xml:space="preserve">c alive" which reflects the global struggle to do so. </w:t>
      </w:r>
    </w:p>
    <w:p w14:paraId="698F8EB7" w14:textId="77777777" w:rsidR="00D170C3" w:rsidRPr="00D170C3" w:rsidRDefault="00D170C3" w:rsidP="00D170C3">
      <w:pPr>
        <w:rPr>
          <w:rFonts w:cs="Calibri"/>
          <w:color w:val="000000" w:themeColor="text1"/>
          <w:sz w:val="22"/>
          <w:szCs w:val="22"/>
        </w:rPr>
      </w:pPr>
    </w:p>
    <w:p w14:paraId="4362E41D" w14:textId="2BC4CD00" w:rsidR="00D170C3" w:rsidRPr="00D170C3" w:rsidRDefault="00D170C3" w:rsidP="00D170C3">
      <w:pPr>
        <w:rPr>
          <w:rFonts w:cs="Calibri"/>
          <w:color w:val="333333"/>
          <w:sz w:val="22"/>
          <w:szCs w:val="22"/>
        </w:rPr>
      </w:pPr>
      <w:r w:rsidRPr="00D170C3">
        <w:rPr>
          <w:rStyle w:val="A0"/>
          <w:rFonts w:cs="Calibri"/>
          <w:color w:val="000000" w:themeColor="text1"/>
          <w:sz w:val="22"/>
          <w:szCs w:val="22"/>
        </w:rPr>
        <w:t xml:space="preserve">The Trustee also welcomed L&amp;G's requirements on companies to report in line with guidance of the Taskforce on Climate Related Financial Disclosures (TCFD), and more recently their requirement in relation to </w:t>
      </w:r>
      <w:r w:rsidRPr="00D170C3">
        <w:rPr>
          <w:rFonts w:cs="Calibri"/>
          <w:color w:val="333333"/>
          <w:sz w:val="22"/>
          <w:szCs w:val="22"/>
        </w:rPr>
        <w:t>mining companies and electric utilities that they should "refrain from making new investments in thermal coal mining or power generation expansion, as this is incompatible with achieving net-zero by 2050 under the International Energy Agency’s (IEA’s) net zero emissions scenario." The Trustee further welcomed their statement that "Companies that fail to meet our minimum standards on climate disclosure may be removed from select funds, including our Future World funds, subject to tracking error constraints. For all other funds where we cannot divest, we will vote against the chair or other directors".</w:t>
      </w:r>
    </w:p>
    <w:p w14:paraId="43D5FA03" w14:textId="77777777" w:rsidR="00D170C3" w:rsidRPr="00D170C3" w:rsidRDefault="00D170C3" w:rsidP="00D170C3">
      <w:pPr>
        <w:rPr>
          <w:rFonts w:cs="Calibri"/>
          <w:color w:val="333333"/>
          <w:sz w:val="22"/>
          <w:szCs w:val="22"/>
        </w:rPr>
      </w:pPr>
    </w:p>
    <w:p w14:paraId="02E517E4" w14:textId="72451B47" w:rsidR="00D170C3" w:rsidRPr="00D170C3" w:rsidRDefault="00D170C3" w:rsidP="00D170C3">
      <w:pPr>
        <w:rPr>
          <w:rFonts w:cs="Calibri"/>
          <w:color w:val="333333"/>
          <w:sz w:val="22"/>
          <w:szCs w:val="22"/>
        </w:rPr>
      </w:pPr>
      <w:r w:rsidRPr="00D170C3">
        <w:rPr>
          <w:rStyle w:val="A0"/>
          <w:rFonts w:cs="Calibri"/>
          <w:bCs/>
          <w:color w:val="000000" w:themeColor="text1"/>
          <w:sz w:val="22"/>
          <w:szCs w:val="22"/>
        </w:rPr>
        <w:t>The Trustee noted in L&amp;G's active ownership report for 2024 that they voted against 455 companies for not meeting the asset manager's minimum Climate Impact Pledge standards.</w:t>
      </w:r>
    </w:p>
    <w:p w14:paraId="3E98F2B7" w14:textId="77777777" w:rsidR="00D170C3" w:rsidRPr="00D170C3" w:rsidRDefault="00D170C3" w:rsidP="00D170C3">
      <w:pPr>
        <w:rPr>
          <w:rFonts w:cs="Calibri"/>
          <w:color w:val="333333"/>
          <w:sz w:val="22"/>
          <w:szCs w:val="22"/>
        </w:rPr>
      </w:pPr>
    </w:p>
    <w:p w14:paraId="55D3765E" w14:textId="7053151B" w:rsidR="00D170C3" w:rsidRPr="00D170C3" w:rsidRDefault="00D170C3" w:rsidP="00D170C3">
      <w:pPr>
        <w:rPr>
          <w:rFonts w:cs="Calibri"/>
          <w:b/>
          <w:color w:val="000000" w:themeColor="text1"/>
          <w:sz w:val="22"/>
          <w:szCs w:val="22"/>
        </w:rPr>
      </w:pPr>
      <w:r w:rsidRPr="00D170C3">
        <w:rPr>
          <w:rStyle w:val="A0"/>
          <w:rFonts w:cs="Calibri"/>
          <w:b/>
          <w:color w:val="000000" w:themeColor="text1"/>
          <w:sz w:val="22"/>
          <w:szCs w:val="22"/>
        </w:rPr>
        <w:t>Significant votes</w:t>
      </w:r>
    </w:p>
    <w:p w14:paraId="0CFB04A5" w14:textId="05C6BE8B" w:rsidR="00D170C3" w:rsidRPr="00D170C3" w:rsidRDefault="00D170C3" w:rsidP="00D170C3">
      <w:pPr>
        <w:pStyle w:val="ListParagraph"/>
        <w:numPr>
          <w:ilvl w:val="0"/>
          <w:numId w:val="3"/>
        </w:numPr>
        <w:rPr>
          <w:rFonts w:eastAsia="Times New Roman" w:cs="Calibri"/>
          <w:color w:val="000000" w:themeColor="text1"/>
          <w:sz w:val="22"/>
          <w:szCs w:val="22"/>
        </w:rPr>
      </w:pPr>
      <w:r w:rsidRPr="00D170C3">
        <w:rPr>
          <w:rFonts w:cs="Calibri"/>
          <w:bCs/>
          <w:color w:val="000000" w:themeColor="text1"/>
          <w:sz w:val="22"/>
          <w:szCs w:val="22"/>
        </w:rPr>
        <w:t xml:space="preserve">The Trustee asked at how many (and which) AGMs did LGLIM vote against a management-proposed resolution, or for a shareholder resolution, on the grounds that the company had not refrained from </w:t>
      </w:r>
      <w:r w:rsidRPr="00D170C3">
        <w:rPr>
          <w:rFonts w:cs="Calibri"/>
          <w:color w:val="333333"/>
          <w:sz w:val="22"/>
          <w:szCs w:val="22"/>
        </w:rPr>
        <w:t>making new investments in thermal coal mining or power generation expansion.</w:t>
      </w:r>
    </w:p>
    <w:p w14:paraId="02302B55" w14:textId="77777777" w:rsidR="00D170C3" w:rsidRPr="00D170C3" w:rsidRDefault="00D170C3" w:rsidP="00D170C3">
      <w:pPr>
        <w:rPr>
          <w:rStyle w:val="A0"/>
          <w:rFonts w:cs="Calibri"/>
          <w:color w:val="333333"/>
          <w:sz w:val="22"/>
          <w:szCs w:val="22"/>
        </w:rPr>
      </w:pPr>
    </w:p>
    <w:p w14:paraId="0D39AD04" w14:textId="52AEA61D" w:rsidR="00D170C3" w:rsidRPr="00D170C3" w:rsidRDefault="00D170C3" w:rsidP="00D170C3">
      <w:pPr>
        <w:pStyle w:val="Default"/>
        <w:rPr>
          <w:rStyle w:val="A0"/>
          <w:rFonts w:cs="Calibri"/>
          <w:b/>
          <w:bCs/>
          <w:color w:val="000000"/>
          <w:sz w:val="22"/>
          <w:szCs w:val="22"/>
        </w:rPr>
      </w:pPr>
      <w:r w:rsidRPr="00D170C3">
        <w:rPr>
          <w:sz w:val="22"/>
          <w:szCs w:val="22"/>
        </w:rPr>
        <w:t>L&amp;G responded that they</w:t>
      </w:r>
      <w:r w:rsidRPr="00D170C3">
        <w:rPr>
          <w:b/>
          <w:bCs/>
          <w:sz w:val="22"/>
          <w:szCs w:val="22"/>
        </w:rPr>
        <w:t xml:space="preserve"> </w:t>
      </w:r>
      <w:r w:rsidRPr="00D170C3">
        <w:rPr>
          <w:rStyle w:val="A0"/>
          <w:rFonts w:cs="Calibri"/>
          <w:bCs/>
          <w:color w:val="000000" w:themeColor="text1"/>
          <w:sz w:val="22"/>
          <w:szCs w:val="22"/>
        </w:rPr>
        <w:t>expect companies to refrain from expanding thermal coal mining capacity and thermal coal power generation capacity as part of their Climate Impact Pledge and Future World Protection List approaches. In 2025 they issued 189 votes against management due to concerns of thermal coal or oil sands involvement.</w:t>
      </w:r>
    </w:p>
    <w:p w14:paraId="02E870FE" w14:textId="77777777" w:rsidR="00D170C3" w:rsidRPr="00D170C3" w:rsidRDefault="00D170C3" w:rsidP="002930E3">
      <w:pPr>
        <w:rPr>
          <w:rFonts w:cs="Calibri"/>
          <w:sz w:val="22"/>
          <w:szCs w:val="22"/>
        </w:rPr>
      </w:pPr>
    </w:p>
    <w:p w14:paraId="1E17890D" w14:textId="11EE9D7C" w:rsidR="00D170C3" w:rsidRPr="00D170C3" w:rsidRDefault="00D170C3" w:rsidP="002930E3">
      <w:pPr>
        <w:rPr>
          <w:rFonts w:cs="Calibri"/>
          <w:b/>
          <w:bCs/>
          <w:sz w:val="22"/>
          <w:szCs w:val="22"/>
        </w:rPr>
      </w:pPr>
      <w:r w:rsidRPr="00D170C3">
        <w:rPr>
          <w:rFonts w:cs="Calibri"/>
          <w:b/>
          <w:bCs/>
          <w:sz w:val="22"/>
          <w:szCs w:val="22"/>
        </w:rPr>
        <w:t>Newton:</w:t>
      </w:r>
    </w:p>
    <w:p w14:paraId="266B853B" w14:textId="521F4CF5" w:rsidR="00D170C3" w:rsidRPr="00D170C3" w:rsidRDefault="00D170C3" w:rsidP="00D170C3">
      <w:pPr>
        <w:autoSpaceDE w:val="0"/>
        <w:autoSpaceDN w:val="0"/>
        <w:adjustRightInd w:val="0"/>
        <w:rPr>
          <w:rFonts w:cs="Calibri"/>
          <w:color w:val="000000"/>
          <w:sz w:val="22"/>
          <w:szCs w:val="22"/>
          <w14:ligatures w14:val="standardContextual"/>
        </w:rPr>
      </w:pPr>
      <w:r w:rsidRPr="00D170C3">
        <w:rPr>
          <w:rFonts w:cs="Calibri"/>
          <w:color w:val="000000"/>
          <w:sz w:val="22"/>
          <w:szCs w:val="22"/>
          <w14:ligatures w14:val="standardContextual"/>
        </w:rPr>
        <w:t xml:space="preserve">The Trustee had welcomed Newton's 2024 voting policy stated that they "may oppose the re-election of the board chair, relevant director(s) or committee if we do not consider that climate risk </w:t>
      </w:r>
      <w:r w:rsidRPr="00D170C3">
        <w:rPr>
          <w:rFonts w:cs="Calibri"/>
          <w:color w:val="000000"/>
          <w:sz w:val="22"/>
          <w:szCs w:val="22"/>
          <w14:ligatures w14:val="standardContextual"/>
        </w:rPr>
        <w:lastRenderedPageBreak/>
        <w:t>is sufficiently being taken into account for those companies where that risk is material to the company’s long-term economic prospects," and that they "may oppose remuneration proposals where the application of the transition plan is not in line with the stated strategy, notably concerning targets that are inconsistent with the strategy, where climate risk is material to the company’s long-term economic prospects."</w:t>
      </w:r>
    </w:p>
    <w:p w14:paraId="05E2E534" w14:textId="77777777" w:rsidR="00D170C3" w:rsidRPr="00D170C3" w:rsidRDefault="00D170C3" w:rsidP="00D170C3">
      <w:pPr>
        <w:rPr>
          <w:rFonts w:cs="Calibri"/>
          <w:color w:val="000000"/>
          <w:sz w:val="22"/>
          <w:szCs w:val="22"/>
        </w:rPr>
      </w:pPr>
    </w:p>
    <w:p w14:paraId="6C7FBB47" w14:textId="6A0C58BC" w:rsidR="00D170C3" w:rsidRPr="00D170C3" w:rsidRDefault="00D170C3" w:rsidP="00D170C3">
      <w:pPr>
        <w:rPr>
          <w:rFonts w:cs="Calibri"/>
          <w:b/>
          <w:sz w:val="22"/>
          <w:szCs w:val="22"/>
        </w:rPr>
      </w:pPr>
      <w:r w:rsidRPr="00D170C3">
        <w:rPr>
          <w:rFonts w:cs="Calibri"/>
          <w:color w:val="000000"/>
          <w:sz w:val="22"/>
          <w:szCs w:val="22"/>
        </w:rPr>
        <w:t xml:space="preserve">The Trustee had also welcomed the policy that Newton "may oppose the approval of the financial statements or the appointment or re-appointment of auditors where climate risks are not considered when preparing the financial statements, where those risks are material to the company's long-term </w:t>
      </w:r>
      <w:r w:rsidRPr="00D170C3">
        <w:rPr>
          <w:rFonts w:cs="Calibri"/>
          <w:sz w:val="22"/>
          <w:szCs w:val="22"/>
        </w:rPr>
        <w:t>economic prospects. In consideration of this vote, engagement with the company and our understanding of the climate risk are considered, in addition to the regulatory guidance and market practice."</w:t>
      </w:r>
    </w:p>
    <w:p w14:paraId="7B408641" w14:textId="77777777" w:rsidR="00D170C3" w:rsidRPr="00D170C3" w:rsidRDefault="00D170C3" w:rsidP="00D170C3">
      <w:pPr>
        <w:autoSpaceDE w:val="0"/>
        <w:autoSpaceDN w:val="0"/>
        <w:adjustRightInd w:val="0"/>
        <w:rPr>
          <w:rFonts w:cs="Calibri"/>
          <w:color w:val="000000" w:themeColor="text1"/>
          <w:sz w:val="22"/>
          <w:szCs w:val="22"/>
          <w:lang w:val="en-US"/>
        </w:rPr>
      </w:pPr>
    </w:p>
    <w:p w14:paraId="756B685E" w14:textId="28C9077C" w:rsidR="00D170C3" w:rsidRPr="00D170C3" w:rsidRDefault="00D170C3" w:rsidP="00D170C3">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The Trustee was therefore most disappointed to find that this appeared to have been removed from the 2025 voting policy. </w:t>
      </w:r>
    </w:p>
    <w:p w14:paraId="348FC89F" w14:textId="77777777" w:rsidR="00D170C3" w:rsidRPr="00D170C3" w:rsidRDefault="00D170C3" w:rsidP="00D170C3">
      <w:pPr>
        <w:autoSpaceDE w:val="0"/>
        <w:autoSpaceDN w:val="0"/>
        <w:adjustRightInd w:val="0"/>
        <w:rPr>
          <w:rFonts w:cs="Calibri"/>
          <w:color w:val="000000" w:themeColor="text1"/>
          <w:sz w:val="22"/>
          <w:szCs w:val="22"/>
          <w:lang w:val="en-US"/>
        </w:rPr>
      </w:pPr>
    </w:p>
    <w:p w14:paraId="44E75991" w14:textId="41F5C95E" w:rsidR="00D170C3" w:rsidRPr="00D170C3" w:rsidRDefault="00D170C3" w:rsidP="00D170C3">
      <w:pPr>
        <w:autoSpaceDE w:val="0"/>
        <w:autoSpaceDN w:val="0"/>
        <w:adjustRightInd w:val="0"/>
        <w:rPr>
          <w:rFonts w:cs="Calibri"/>
          <w:b/>
          <w:color w:val="000000" w:themeColor="text1"/>
          <w:sz w:val="22"/>
          <w:szCs w:val="22"/>
          <w:lang w:val="en-US"/>
        </w:rPr>
      </w:pPr>
      <w:r w:rsidRPr="00D170C3">
        <w:rPr>
          <w:rFonts w:cs="Calibri"/>
          <w:b/>
          <w:color w:val="000000" w:themeColor="text1"/>
          <w:sz w:val="22"/>
          <w:szCs w:val="22"/>
          <w:lang w:val="en-US"/>
        </w:rPr>
        <w:t>Significant votes:</w:t>
      </w:r>
    </w:p>
    <w:p w14:paraId="13B9DEEF" w14:textId="0A89B697" w:rsidR="00D170C3" w:rsidRPr="00D170C3" w:rsidRDefault="00D170C3" w:rsidP="00D170C3">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The Trustee asked:</w:t>
      </w:r>
    </w:p>
    <w:p w14:paraId="5A2CA0A0" w14:textId="27F421F7" w:rsidR="00D170C3" w:rsidRPr="00D170C3" w:rsidRDefault="00D170C3" w:rsidP="00D170C3">
      <w:pPr>
        <w:pStyle w:val="ListParagraph"/>
        <w:numPr>
          <w:ilvl w:val="0"/>
          <w:numId w:val="15"/>
        </w:numPr>
        <w:autoSpaceDE w:val="0"/>
        <w:autoSpaceDN w:val="0"/>
        <w:adjustRightInd w:val="0"/>
        <w:rPr>
          <w:rFonts w:cs="Calibri"/>
          <w:color w:val="000000" w:themeColor="text1"/>
          <w:sz w:val="22"/>
          <w:szCs w:val="22"/>
        </w:rPr>
      </w:pPr>
      <w:r w:rsidRPr="00D170C3">
        <w:rPr>
          <w:rFonts w:cs="Calibri"/>
          <w:color w:val="000000" w:themeColor="text1"/>
          <w:sz w:val="22"/>
          <w:szCs w:val="22"/>
          <w:lang w:val="en-US"/>
        </w:rPr>
        <w:t xml:space="preserve">whether Newton believes that the threat of climate change no longer justifies the above voting actions where the asset manager considers climate risk has been insufficiently </w:t>
      </w:r>
      <w:proofErr w:type="gramStart"/>
      <w:r w:rsidRPr="00D170C3">
        <w:rPr>
          <w:rFonts w:cs="Calibri"/>
          <w:color w:val="000000" w:themeColor="text1"/>
          <w:sz w:val="22"/>
          <w:szCs w:val="22"/>
          <w:lang w:val="en-US"/>
        </w:rPr>
        <w:t>taken into account</w:t>
      </w:r>
      <w:proofErr w:type="gramEnd"/>
      <w:r w:rsidRPr="00D170C3">
        <w:rPr>
          <w:rFonts w:cs="Calibri"/>
          <w:color w:val="000000" w:themeColor="text1"/>
          <w:sz w:val="22"/>
          <w:szCs w:val="22"/>
          <w:lang w:val="en-US"/>
        </w:rPr>
        <w:t>;</w:t>
      </w:r>
    </w:p>
    <w:p w14:paraId="445DC31A" w14:textId="77777777" w:rsidR="00D170C3" w:rsidRPr="00D170C3" w:rsidRDefault="00D170C3" w:rsidP="00D170C3">
      <w:pPr>
        <w:autoSpaceDE w:val="0"/>
        <w:autoSpaceDN w:val="0"/>
        <w:adjustRightInd w:val="0"/>
        <w:ind w:left="360"/>
        <w:rPr>
          <w:rFonts w:cs="Calibri"/>
          <w:color w:val="000000" w:themeColor="text1"/>
          <w:sz w:val="22"/>
          <w:szCs w:val="22"/>
        </w:rPr>
      </w:pPr>
    </w:p>
    <w:p w14:paraId="0D577F1F" w14:textId="3A7027F8" w:rsidR="00D170C3" w:rsidRPr="00D170C3" w:rsidRDefault="00D170C3" w:rsidP="00D170C3">
      <w:pPr>
        <w:pStyle w:val="ListParagraph"/>
        <w:numPr>
          <w:ilvl w:val="0"/>
          <w:numId w:val="15"/>
        </w:numPr>
        <w:autoSpaceDE w:val="0"/>
        <w:autoSpaceDN w:val="0"/>
        <w:adjustRightInd w:val="0"/>
        <w:rPr>
          <w:rFonts w:cs="Calibri"/>
          <w:color w:val="000000" w:themeColor="text1"/>
          <w:sz w:val="22"/>
          <w:szCs w:val="22"/>
        </w:rPr>
      </w:pPr>
      <w:r w:rsidRPr="00D170C3">
        <w:rPr>
          <w:rFonts w:cs="Calibri"/>
          <w:bCs/>
          <w:color w:val="000000" w:themeColor="text1"/>
          <w:sz w:val="22"/>
          <w:szCs w:val="22"/>
          <w:lang w:val="en-US"/>
        </w:rPr>
        <w:t xml:space="preserve">how many times and at which company AGMs over the period Newton opposed the re-election of any directors or committees, and/or opposed remuneration proposals, on the grounds of their failures </w:t>
      </w:r>
      <w:proofErr w:type="gramStart"/>
      <w:r w:rsidRPr="00D170C3">
        <w:rPr>
          <w:rFonts w:cs="Calibri"/>
          <w:bCs/>
          <w:color w:val="000000" w:themeColor="text1"/>
          <w:sz w:val="22"/>
          <w:szCs w:val="22"/>
          <w:lang w:val="en-US"/>
        </w:rPr>
        <w:t>with regard to</w:t>
      </w:r>
      <w:proofErr w:type="gramEnd"/>
      <w:r w:rsidRPr="00D170C3">
        <w:rPr>
          <w:rFonts w:cs="Calibri"/>
          <w:bCs/>
          <w:color w:val="000000" w:themeColor="text1"/>
          <w:sz w:val="22"/>
          <w:szCs w:val="22"/>
          <w:lang w:val="en-US"/>
        </w:rPr>
        <w:t xml:space="preserve"> those policies. The Trustee had read Newton's stewardship </w:t>
      </w:r>
      <w:proofErr w:type="gramStart"/>
      <w:r w:rsidRPr="00D170C3">
        <w:rPr>
          <w:rFonts w:cs="Calibri"/>
          <w:bCs/>
          <w:color w:val="000000" w:themeColor="text1"/>
          <w:sz w:val="22"/>
          <w:szCs w:val="22"/>
          <w:lang w:val="en-US"/>
        </w:rPr>
        <w:t>reports</w:t>
      </w:r>
      <w:proofErr w:type="gramEnd"/>
      <w:r w:rsidRPr="00D170C3">
        <w:rPr>
          <w:rFonts w:cs="Calibri"/>
          <w:bCs/>
          <w:color w:val="000000" w:themeColor="text1"/>
          <w:sz w:val="22"/>
          <w:szCs w:val="22"/>
          <w:lang w:val="en-US"/>
        </w:rPr>
        <w:t xml:space="preserve"> but it was not clear.</w:t>
      </w:r>
    </w:p>
    <w:p w14:paraId="2F9364EA" w14:textId="77777777" w:rsidR="00D170C3" w:rsidRPr="00D170C3" w:rsidRDefault="00D170C3" w:rsidP="00D170C3">
      <w:pPr>
        <w:autoSpaceDE w:val="0"/>
        <w:autoSpaceDN w:val="0"/>
        <w:adjustRightInd w:val="0"/>
        <w:ind w:left="360"/>
        <w:rPr>
          <w:rFonts w:cs="Calibri"/>
          <w:color w:val="000000" w:themeColor="text1"/>
          <w:sz w:val="22"/>
          <w:szCs w:val="22"/>
        </w:rPr>
      </w:pPr>
    </w:p>
    <w:p w14:paraId="42917B3F" w14:textId="368D7975" w:rsidR="00D170C3" w:rsidRPr="00D170C3" w:rsidRDefault="00D170C3" w:rsidP="00D170C3">
      <w:pPr>
        <w:pStyle w:val="ListParagraph"/>
        <w:numPr>
          <w:ilvl w:val="0"/>
          <w:numId w:val="15"/>
        </w:numPr>
        <w:autoSpaceDE w:val="0"/>
        <w:autoSpaceDN w:val="0"/>
        <w:adjustRightInd w:val="0"/>
        <w:rPr>
          <w:rFonts w:cs="Calibri"/>
          <w:color w:val="000000" w:themeColor="text1"/>
          <w:sz w:val="22"/>
          <w:szCs w:val="22"/>
        </w:rPr>
      </w:pPr>
      <w:r w:rsidRPr="00D170C3">
        <w:rPr>
          <w:rFonts w:cs="Calibri"/>
          <w:color w:val="000000" w:themeColor="text1"/>
          <w:sz w:val="22"/>
          <w:szCs w:val="22"/>
        </w:rPr>
        <w:t>for an explanation of their vote against motion 7 of the Amazon AGM 2025 which requested a report on the impact of data centres on climate commitments. Newton had stated that they had voted against it "as we do not consider it to add value for shareholders at this stage." An LSE report of 12 September 2025</w:t>
      </w:r>
      <w:r w:rsidRPr="00D170C3">
        <w:rPr>
          <w:rStyle w:val="FootnoteReference"/>
          <w:rFonts w:cs="Calibri"/>
          <w:color w:val="000000" w:themeColor="text1"/>
          <w:sz w:val="22"/>
          <w:szCs w:val="22"/>
        </w:rPr>
        <w:footnoteReference w:id="2"/>
      </w:r>
      <w:r w:rsidRPr="00D170C3">
        <w:rPr>
          <w:rFonts w:cs="Calibri"/>
          <w:color w:val="000000" w:themeColor="text1"/>
          <w:sz w:val="22"/>
          <w:szCs w:val="22"/>
        </w:rPr>
        <w:t xml:space="preserve"> stated:</w:t>
      </w:r>
      <w:r w:rsidRPr="00D170C3">
        <w:rPr>
          <w:rFonts w:cs="Calibri"/>
          <w:color w:val="000000" w:themeColor="text1"/>
          <w:sz w:val="22"/>
          <w:szCs w:val="22"/>
          <w:shd w:val="clear" w:color="auto" w:fill="FFFFFF"/>
        </w:rPr>
        <w:t xml:space="preserve"> "Data centres currently contribute </w:t>
      </w:r>
      <w:hyperlink r:id="rId8" w:tgtFrame="_blank" w:history="1">
        <w:r w:rsidRPr="00D170C3">
          <w:rPr>
            <w:rStyle w:val="Hyperlink"/>
            <w:rFonts w:cs="Calibri"/>
            <w:color w:val="000000" w:themeColor="text1"/>
            <w:sz w:val="22"/>
            <w:szCs w:val="22"/>
            <w:u w:val="none"/>
            <w:shd w:val="clear" w:color="auto" w:fill="FFFFFF"/>
          </w:rPr>
          <w:t>about 1% of global energy-related greenhouse gas emissions﻿</w:t>
        </w:r>
      </w:hyperlink>
      <w:r w:rsidRPr="00D170C3">
        <w:rPr>
          <w:rFonts w:cs="Calibri"/>
          <w:color w:val="000000" w:themeColor="text1"/>
          <w:sz w:val="22"/>
          <w:szCs w:val="22"/>
          <w:shd w:val="clear" w:color="auto" w:fill="FFFFFF"/>
        </w:rPr>
        <w:t> and are among the fastest-growing sources of emissions." It also stated that "In 2024, data centres accounted for about </w:t>
      </w:r>
      <w:hyperlink r:id="rId9" w:tgtFrame="_blank" w:history="1">
        <w:r w:rsidRPr="00D170C3">
          <w:rPr>
            <w:rStyle w:val="Hyperlink"/>
            <w:rFonts w:cs="Calibri"/>
            <w:color w:val="000000" w:themeColor="text1"/>
            <w:sz w:val="22"/>
            <w:szCs w:val="22"/>
            <w:u w:val="none"/>
            <w:shd w:val="clear" w:color="auto" w:fill="FFFFFF"/>
          </w:rPr>
          <w:t>1.5% of the world’s electricity consumption﻿</w:t>
        </w:r>
      </w:hyperlink>
      <w:r w:rsidRPr="00D170C3">
        <w:rPr>
          <w:rFonts w:cs="Calibri"/>
          <w:color w:val="000000" w:themeColor="text1"/>
          <w:sz w:val="22"/>
          <w:szCs w:val="22"/>
          <w:shd w:val="clear" w:color="auto" w:fill="FFFFFF"/>
        </w:rPr>
        <w:t>. But demand is projected to double to </w:t>
      </w:r>
      <w:hyperlink r:id="rId10" w:tgtFrame="_blank" w:history="1">
        <w:r w:rsidRPr="00D170C3">
          <w:rPr>
            <w:rStyle w:val="Hyperlink"/>
            <w:rFonts w:cs="Calibri"/>
            <w:color w:val="000000" w:themeColor="text1"/>
            <w:sz w:val="22"/>
            <w:szCs w:val="22"/>
            <w:u w:val="none"/>
            <w:shd w:val="clear" w:color="auto" w:fill="FFFFFF"/>
          </w:rPr>
          <w:t>945 TWh by 2030﻿</w:t>
        </w:r>
      </w:hyperlink>
      <w:r w:rsidRPr="00D170C3">
        <w:rPr>
          <w:rFonts w:cs="Calibri"/>
          <w:color w:val="000000" w:themeColor="text1"/>
          <w:sz w:val="22"/>
          <w:szCs w:val="22"/>
          <w:shd w:val="clear" w:color="auto" w:fill="FFFFFF"/>
        </w:rPr>
        <w:t xml:space="preserve">, potentially exceeding Japan’s current total electricity consumption. The United States accounts for the largest share of global data centre electricity consumption."  </w:t>
      </w:r>
    </w:p>
    <w:p w14:paraId="7108CFCF" w14:textId="77777777" w:rsidR="00D170C3" w:rsidRPr="00D170C3" w:rsidRDefault="00D170C3" w:rsidP="00D170C3">
      <w:pPr>
        <w:autoSpaceDE w:val="0"/>
        <w:autoSpaceDN w:val="0"/>
        <w:adjustRightInd w:val="0"/>
        <w:rPr>
          <w:rFonts w:cs="Calibri"/>
          <w:sz w:val="22"/>
          <w:szCs w:val="22"/>
        </w:rPr>
      </w:pPr>
    </w:p>
    <w:p w14:paraId="074C6B2A" w14:textId="7A1929A3" w:rsidR="00D170C3" w:rsidRPr="00D170C3" w:rsidRDefault="00D170C3" w:rsidP="00D170C3">
      <w:pPr>
        <w:autoSpaceDE w:val="0"/>
        <w:autoSpaceDN w:val="0"/>
        <w:adjustRightInd w:val="0"/>
        <w:rPr>
          <w:rFonts w:cs="Calibri"/>
          <w:sz w:val="22"/>
          <w:szCs w:val="22"/>
        </w:rPr>
      </w:pPr>
      <w:r w:rsidRPr="00D170C3">
        <w:rPr>
          <w:rFonts w:cs="Calibri"/>
          <w:color w:val="000000" w:themeColor="text1"/>
          <w:sz w:val="22"/>
          <w:szCs w:val="22"/>
          <w:shd w:val="clear" w:color="auto" w:fill="FFFFFF"/>
        </w:rPr>
        <w:t>The Trustee suggested to Newton that either climate change represents a major threat to the value of shareholders' investments or it does not. Newton declined to respond to these questions, directing the Trustee instead to their 2025 voting season report.</w:t>
      </w:r>
    </w:p>
    <w:p w14:paraId="2DB19183" w14:textId="77777777" w:rsidR="00D170C3" w:rsidRPr="00D170C3" w:rsidRDefault="00D170C3" w:rsidP="00D170C3">
      <w:pPr>
        <w:autoSpaceDE w:val="0"/>
        <w:autoSpaceDN w:val="0"/>
        <w:adjustRightInd w:val="0"/>
        <w:rPr>
          <w:rFonts w:cs="Calibri"/>
          <w:sz w:val="22"/>
          <w:szCs w:val="22"/>
        </w:rPr>
      </w:pPr>
    </w:p>
    <w:p w14:paraId="57BDC641" w14:textId="46683291" w:rsidR="00D170C3" w:rsidRPr="00D170C3" w:rsidRDefault="00D170C3" w:rsidP="00D170C3">
      <w:pPr>
        <w:autoSpaceDE w:val="0"/>
        <w:autoSpaceDN w:val="0"/>
        <w:adjustRightInd w:val="0"/>
        <w:rPr>
          <w:rFonts w:cs="Calibri"/>
          <w:sz w:val="22"/>
          <w:szCs w:val="22"/>
        </w:rPr>
      </w:pPr>
      <w:r w:rsidRPr="00D170C3">
        <w:rPr>
          <w:rFonts w:cs="Calibri"/>
          <w:color w:val="000000" w:themeColor="text1"/>
          <w:sz w:val="22"/>
          <w:szCs w:val="22"/>
          <w:shd w:val="clear" w:color="auto" w:fill="FFFFFF"/>
        </w:rPr>
        <w:t xml:space="preserve">This report gave three examples of Newton's voting on climate change matters. They supported a shareholder resolution at Goldman Sachs that was seeking </w:t>
      </w:r>
      <w:r w:rsidRPr="00D170C3">
        <w:rPr>
          <w:rFonts w:cs="Calibri"/>
          <w:sz w:val="22"/>
          <w:szCs w:val="22"/>
        </w:rPr>
        <w:t xml:space="preserve">disclosure of the ratio of clean energy financing to fossil fuel financing. However, they opposed a shareholder resolution at Shell regarding Shell's strategic focus on liquefied natural </w:t>
      </w:r>
      <w:proofErr w:type="gramStart"/>
      <w:r w:rsidRPr="00D170C3">
        <w:rPr>
          <w:rFonts w:cs="Calibri"/>
          <w:sz w:val="22"/>
          <w:szCs w:val="22"/>
        </w:rPr>
        <w:t>gas, and</w:t>
      </w:r>
      <w:proofErr w:type="gramEnd"/>
      <w:r w:rsidRPr="00D170C3">
        <w:rPr>
          <w:rFonts w:cs="Calibri"/>
          <w:sz w:val="22"/>
          <w:szCs w:val="22"/>
        </w:rPr>
        <w:t xml:space="preserve"> decided not to oppose the re-election of the chair of the board at BP where other shareholders were advocating opposing it on grounds that they considered the company was backtracking on climate commitments.  </w:t>
      </w:r>
    </w:p>
    <w:p w14:paraId="07E72A8D" w14:textId="77777777" w:rsidR="00D012D9" w:rsidRPr="00D170C3" w:rsidRDefault="00D012D9" w:rsidP="002930E3">
      <w:pPr>
        <w:rPr>
          <w:rFonts w:cs="Calibri"/>
          <w:sz w:val="22"/>
          <w:szCs w:val="22"/>
        </w:rPr>
      </w:pPr>
    </w:p>
    <w:p w14:paraId="34F86510" w14:textId="25B8BDF4" w:rsidR="00D170C3" w:rsidRPr="00D170C3" w:rsidRDefault="00D170C3" w:rsidP="00D170C3">
      <w:pPr>
        <w:rPr>
          <w:rFonts w:cs="Calibri"/>
          <w:b/>
          <w:bCs/>
          <w:sz w:val="22"/>
          <w:szCs w:val="22"/>
        </w:rPr>
      </w:pPr>
      <w:r w:rsidRPr="00D170C3">
        <w:rPr>
          <w:rFonts w:cs="Calibri"/>
          <w:b/>
          <w:bCs/>
          <w:sz w:val="22"/>
          <w:szCs w:val="22"/>
        </w:rPr>
        <w:lastRenderedPageBreak/>
        <w:t xml:space="preserve">3.3. </w:t>
      </w:r>
      <w:r w:rsidR="00641F3E">
        <w:rPr>
          <w:rFonts w:cs="Calibri"/>
          <w:b/>
          <w:bCs/>
          <w:sz w:val="22"/>
          <w:szCs w:val="22"/>
        </w:rPr>
        <w:t>Diversity</w:t>
      </w:r>
    </w:p>
    <w:p w14:paraId="392FE885" w14:textId="7D4C9878" w:rsidR="00D170C3" w:rsidRPr="00D170C3" w:rsidRDefault="00D170C3" w:rsidP="00D170C3">
      <w:pPr>
        <w:rPr>
          <w:rFonts w:cs="Calibri"/>
          <w:b/>
          <w:bCs/>
          <w:sz w:val="22"/>
          <w:szCs w:val="22"/>
        </w:rPr>
      </w:pPr>
      <w:r w:rsidRPr="00D170C3">
        <w:rPr>
          <w:rFonts w:cs="Calibri"/>
          <w:b/>
          <w:bCs/>
          <w:sz w:val="22"/>
          <w:szCs w:val="22"/>
        </w:rPr>
        <w:t>L&amp;G:</w:t>
      </w:r>
    </w:p>
    <w:p w14:paraId="3E43D9EE" w14:textId="77777777" w:rsidR="00D170C3" w:rsidRPr="00D170C3" w:rsidRDefault="00D170C3" w:rsidP="00D170C3">
      <w:pPr>
        <w:rPr>
          <w:rFonts w:cs="Calibri"/>
          <w:sz w:val="22"/>
          <w:szCs w:val="22"/>
        </w:rPr>
      </w:pPr>
      <w:r w:rsidRPr="00D170C3">
        <w:rPr>
          <w:rFonts w:cs="Calibri"/>
          <w:sz w:val="22"/>
          <w:szCs w:val="22"/>
        </w:rPr>
        <w:t xml:space="preserve">The Trustee warmly welcomed the continued evolution of L&amp;G's diversity policies, such as their decision to seek to engage with proxy voting organisations to raise minimum standards of diversity across various markets, and the </w:t>
      </w:r>
      <w:proofErr w:type="spellStart"/>
      <w:r w:rsidRPr="00D170C3">
        <w:rPr>
          <w:rFonts w:cs="Calibri"/>
          <w:sz w:val="22"/>
          <w:szCs w:val="22"/>
        </w:rPr>
        <w:t>the</w:t>
      </w:r>
      <w:proofErr w:type="spellEnd"/>
      <w:r w:rsidRPr="00D170C3">
        <w:rPr>
          <w:rFonts w:cs="Calibri"/>
          <w:sz w:val="22"/>
          <w:szCs w:val="22"/>
        </w:rPr>
        <w:t xml:space="preserve"> development of policy in alignment with those of the Trustee following several years of dialogue with L&amp;G in this regard. </w:t>
      </w:r>
    </w:p>
    <w:p w14:paraId="1279DD40" w14:textId="77777777" w:rsidR="00D170C3" w:rsidRPr="00D170C3" w:rsidRDefault="00D170C3" w:rsidP="00D170C3">
      <w:pPr>
        <w:rPr>
          <w:rFonts w:cs="Calibri"/>
          <w:sz w:val="22"/>
          <w:szCs w:val="22"/>
        </w:rPr>
      </w:pPr>
    </w:p>
    <w:p w14:paraId="1EBD9BC5" w14:textId="6BD90FCC" w:rsidR="00D170C3" w:rsidRPr="00D170C3" w:rsidRDefault="00D170C3" w:rsidP="00D170C3">
      <w:pPr>
        <w:rPr>
          <w:rFonts w:cs="Calibri"/>
          <w:sz w:val="22"/>
          <w:szCs w:val="22"/>
        </w:rPr>
      </w:pPr>
      <w:proofErr w:type="gramStart"/>
      <w:r w:rsidRPr="00D170C3">
        <w:rPr>
          <w:rFonts w:cs="Calibri"/>
          <w:sz w:val="22"/>
          <w:szCs w:val="22"/>
        </w:rPr>
        <w:t>In particular the</w:t>
      </w:r>
      <w:proofErr w:type="gramEnd"/>
      <w:r w:rsidRPr="00D170C3">
        <w:rPr>
          <w:rFonts w:cs="Calibri"/>
          <w:sz w:val="22"/>
          <w:szCs w:val="22"/>
        </w:rPr>
        <w:t xml:space="preserve"> trustee welcomed L&amp;G's policies that:</w:t>
      </w:r>
    </w:p>
    <w:p w14:paraId="6D72B374" w14:textId="77777777" w:rsidR="00D170C3" w:rsidRPr="00D170C3" w:rsidRDefault="00D170C3" w:rsidP="00D170C3">
      <w:pPr>
        <w:rPr>
          <w:rFonts w:cs="Calibri"/>
          <w:sz w:val="22"/>
          <w:szCs w:val="22"/>
        </w:rPr>
      </w:pPr>
      <w:r w:rsidRPr="00D170C3">
        <w:rPr>
          <w:rFonts w:cs="Calibri"/>
          <w:sz w:val="22"/>
          <w:szCs w:val="22"/>
        </w:rPr>
        <w:t>l companies should be transparent and clearly disclose diversity and inclusion policies and representation data at four levels: company board (non-executive directors), executive leadership team, management team, and entire workforce;</w:t>
      </w:r>
    </w:p>
    <w:p w14:paraId="0AD0AECF" w14:textId="3440CB5E" w:rsidR="00D170C3" w:rsidRPr="00D170C3" w:rsidRDefault="00D170C3" w:rsidP="00D170C3">
      <w:pPr>
        <w:rPr>
          <w:rFonts w:cs="Calibri"/>
          <w:sz w:val="22"/>
          <w:szCs w:val="22"/>
        </w:rPr>
      </w:pPr>
      <w:r w:rsidRPr="00D170C3">
        <w:rPr>
          <w:rFonts w:cs="Calibri"/>
          <w:sz w:val="22"/>
          <w:szCs w:val="22"/>
        </w:rPr>
        <w:t xml:space="preserve">l L&amp;G's adoption of the Parker Review as an authoritative source of information on ethnicity on the boards of FTSE 100 and FTSE 250 companies; </w:t>
      </w:r>
    </w:p>
    <w:p w14:paraId="4CAEB064" w14:textId="77777777" w:rsidR="00D170C3" w:rsidRPr="00D170C3" w:rsidRDefault="00D170C3" w:rsidP="00D170C3">
      <w:pPr>
        <w:rPr>
          <w:rFonts w:cs="Calibri"/>
          <w:sz w:val="22"/>
          <w:szCs w:val="22"/>
        </w:rPr>
      </w:pPr>
      <w:r w:rsidRPr="00D170C3">
        <w:rPr>
          <w:rFonts w:cs="Calibri"/>
          <w:sz w:val="22"/>
          <w:szCs w:val="22"/>
        </w:rPr>
        <w:t xml:space="preserve">l their actions in line with the Parker Review's targets that it sets those </w:t>
      </w:r>
      <w:proofErr w:type="gramStart"/>
      <w:r w:rsidRPr="00D170C3">
        <w:rPr>
          <w:rFonts w:cs="Calibri"/>
          <w:sz w:val="22"/>
          <w:szCs w:val="22"/>
        </w:rPr>
        <w:t>companies,  and</w:t>
      </w:r>
      <w:proofErr w:type="gramEnd"/>
      <w:r w:rsidRPr="00D170C3">
        <w:rPr>
          <w:rFonts w:cs="Calibri"/>
          <w:sz w:val="22"/>
          <w:szCs w:val="22"/>
        </w:rPr>
        <w:t xml:space="preserve"> </w:t>
      </w:r>
    </w:p>
    <w:p w14:paraId="3849E88F" w14:textId="64B1CC76" w:rsidR="00D170C3" w:rsidRPr="00D170C3" w:rsidRDefault="00D170C3" w:rsidP="00D170C3">
      <w:pPr>
        <w:rPr>
          <w:rFonts w:cs="Calibri"/>
          <w:sz w:val="22"/>
          <w:szCs w:val="22"/>
        </w:rPr>
      </w:pPr>
      <w:r w:rsidRPr="00D170C3">
        <w:rPr>
          <w:rFonts w:cs="Calibri"/>
          <w:sz w:val="22"/>
          <w:szCs w:val="22"/>
        </w:rPr>
        <w:t>l their policy that companies should disclose their gender and ethnicity pay gap information, where possible, along with actions to close any stated gap.</w:t>
      </w:r>
    </w:p>
    <w:p w14:paraId="066B9650" w14:textId="77777777" w:rsidR="00D170C3" w:rsidRPr="00D170C3" w:rsidRDefault="00D170C3" w:rsidP="00D170C3">
      <w:pPr>
        <w:rPr>
          <w:rFonts w:cs="Calibri"/>
          <w:sz w:val="22"/>
          <w:szCs w:val="22"/>
        </w:rPr>
      </w:pPr>
    </w:p>
    <w:p w14:paraId="68721ECD" w14:textId="77777777" w:rsidR="00D170C3" w:rsidRPr="00D170C3" w:rsidRDefault="00D170C3" w:rsidP="00D170C3">
      <w:pPr>
        <w:rPr>
          <w:rFonts w:cs="Calibri"/>
          <w:b/>
          <w:bCs/>
          <w:sz w:val="22"/>
          <w:szCs w:val="22"/>
        </w:rPr>
      </w:pPr>
      <w:r w:rsidRPr="00D170C3">
        <w:rPr>
          <w:rFonts w:cs="Calibri"/>
          <w:b/>
          <w:bCs/>
          <w:sz w:val="22"/>
          <w:szCs w:val="22"/>
        </w:rPr>
        <w:t>Parker Review</w:t>
      </w:r>
    </w:p>
    <w:p w14:paraId="7D1490F6" w14:textId="4187FBDF"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The Parker Review has stated that as of March 2025 there were five FTSE 100 companies with no ethnic minority board directors. These were Diploma plc, Hargreaves Lansdown plc, Intermediate Capital Group, Persimmon and United Utilities Group. L&amp;G's voting records indicate that they did not cast a negative vote at any of these company AGMs, but the Trustee acknowledged that this was appropriate with Diploma and Persimmon who had </w:t>
      </w:r>
      <w:proofErr w:type="gramStart"/>
      <w:r w:rsidRPr="00D170C3">
        <w:rPr>
          <w:rFonts w:cs="Calibri"/>
          <w:color w:val="000000" w:themeColor="text1"/>
          <w:sz w:val="22"/>
          <w:szCs w:val="22"/>
        </w:rPr>
        <w:t>taken action</w:t>
      </w:r>
      <w:proofErr w:type="gramEnd"/>
      <w:r w:rsidRPr="00D170C3">
        <w:rPr>
          <w:rFonts w:cs="Calibri"/>
          <w:color w:val="000000" w:themeColor="text1"/>
          <w:sz w:val="22"/>
          <w:szCs w:val="22"/>
        </w:rPr>
        <w:t>.</w:t>
      </w:r>
    </w:p>
    <w:p w14:paraId="190A1C30" w14:textId="77777777" w:rsidR="00D170C3" w:rsidRPr="00D170C3" w:rsidRDefault="00D170C3" w:rsidP="00D170C3">
      <w:pPr>
        <w:autoSpaceDE w:val="0"/>
        <w:autoSpaceDN w:val="0"/>
        <w:adjustRightInd w:val="0"/>
        <w:rPr>
          <w:rFonts w:cs="Calibri"/>
          <w:color w:val="000000" w:themeColor="text1"/>
          <w:sz w:val="22"/>
          <w:szCs w:val="22"/>
          <w:lang w:val="en-US"/>
        </w:rPr>
      </w:pPr>
    </w:p>
    <w:p w14:paraId="33E829CA" w14:textId="0656BA42"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The Parker Review had set a target for all FTSE 250 companies to have at least one ethnic minority director on the board by December 2024. Their report stated that as of 31st December 2024, 204 companies had met the target, but 32 companies were not yet doing so and 14 had not responded.  What engagement action has L&amp;G taken with these two groups of companies? </w:t>
      </w:r>
    </w:p>
    <w:p w14:paraId="6C9807BE" w14:textId="77777777" w:rsidR="00D170C3" w:rsidRPr="00D170C3" w:rsidRDefault="00D170C3" w:rsidP="00D170C3">
      <w:pPr>
        <w:rPr>
          <w:rFonts w:cs="Calibri"/>
          <w:sz w:val="22"/>
          <w:szCs w:val="22"/>
        </w:rPr>
      </w:pPr>
    </w:p>
    <w:p w14:paraId="1F6DEA4E" w14:textId="77777777" w:rsidR="00D170C3" w:rsidRPr="00D170C3" w:rsidRDefault="00D170C3" w:rsidP="00D170C3">
      <w:pPr>
        <w:rPr>
          <w:rFonts w:cs="Calibri"/>
          <w:b/>
          <w:bCs/>
          <w:sz w:val="22"/>
          <w:szCs w:val="22"/>
        </w:rPr>
      </w:pPr>
      <w:r w:rsidRPr="00D170C3">
        <w:rPr>
          <w:rFonts w:cs="Calibri"/>
          <w:b/>
          <w:bCs/>
          <w:sz w:val="22"/>
          <w:szCs w:val="22"/>
        </w:rPr>
        <w:t>Significant Vote</w:t>
      </w:r>
    </w:p>
    <w:p w14:paraId="13412329" w14:textId="76D0DC3C" w:rsidR="00D170C3" w:rsidRPr="00D170C3" w:rsidRDefault="00D170C3" w:rsidP="00D170C3">
      <w:pPr>
        <w:rPr>
          <w:rFonts w:cs="Calibri"/>
          <w:b/>
          <w:bCs/>
          <w:sz w:val="22"/>
          <w:szCs w:val="22"/>
        </w:rPr>
      </w:pPr>
      <w:r w:rsidRPr="00D170C3">
        <w:rPr>
          <w:rFonts w:cs="Calibri"/>
          <w:b/>
          <w:bCs/>
          <w:sz w:val="22"/>
          <w:szCs w:val="22"/>
        </w:rPr>
        <w:t>The Trustee asked L&amp;G:</w:t>
      </w:r>
    </w:p>
    <w:p w14:paraId="51E4347C" w14:textId="77777777" w:rsidR="00D170C3" w:rsidRPr="00D170C3" w:rsidRDefault="00D170C3" w:rsidP="00D170C3">
      <w:pPr>
        <w:pStyle w:val="ListParagraph"/>
        <w:numPr>
          <w:ilvl w:val="0"/>
          <w:numId w:val="3"/>
        </w:numPr>
        <w:rPr>
          <w:rFonts w:cs="Calibri"/>
          <w:sz w:val="22"/>
          <w:szCs w:val="22"/>
        </w:rPr>
      </w:pPr>
      <w:r w:rsidRPr="00D170C3">
        <w:rPr>
          <w:rFonts w:cs="Calibri"/>
          <w:sz w:val="22"/>
          <w:szCs w:val="22"/>
        </w:rPr>
        <w:t xml:space="preserve">to explain why they did not vote against the re-election of the chairs at Hargreaves Lansdown, Intermediate Capital Group and United Utilities Group. </w:t>
      </w:r>
    </w:p>
    <w:p w14:paraId="330899EE" w14:textId="77777777" w:rsidR="00D170C3" w:rsidRPr="00D170C3" w:rsidRDefault="00D170C3" w:rsidP="00D170C3">
      <w:pPr>
        <w:ind w:left="360"/>
        <w:rPr>
          <w:rFonts w:cs="Calibri"/>
          <w:sz w:val="22"/>
          <w:szCs w:val="22"/>
        </w:rPr>
      </w:pPr>
    </w:p>
    <w:p w14:paraId="57F3F821" w14:textId="54244AD2" w:rsidR="00D170C3" w:rsidRPr="00D170C3" w:rsidRDefault="00D170C3" w:rsidP="00D170C3">
      <w:pPr>
        <w:pStyle w:val="ListParagraph"/>
        <w:numPr>
          <w:ilvl w:val="0"/>
          <w:numId w:val="3"/>
        </w:numPr>
        <w:rPr>
          <w:rFonts w:cs="Calibri"/>
          <w:sz w:val="22"/>
          <w:szCs w:val="22"/>
        </w:rPr>
      </w:pPr>
      <w:r w:rsidRPr="00D170C3">
        <w:rPr>
          <w:rFonts w:cs="Calibri"/>
          <w:sz w:val="22"/>
          <w:szCs w:val="22"/>
        </w:rPr>
        <w:t xml:space="preserve">what engagement action L&amp;G had taken with the </w:t>
      </w:r>
      <w:r w:rsidRPr="00D170C3">
        <w:rPr>
          <w:rFonts w:cs="Calibri"/>
          <w:color w:val="000000" w:themeColor="text1"/>
          <w:sz w:val="22"/>
          <w:szCs w:val="22"/>
        </w:rPr>
        <w:t>32 companies who did not meet the Parker Review target and  the 14 had not responded,</w:t>
      </w:r>
      <w:r w:rsidRPr="00D170C3">
        <w:rPr>
          <w:rFonts w:cs="Calibri"/>
          <w:sz w:val="22"/>
          <w:szCs w:val="22"/>
        </w:rPr>
        <w:t xml:space="preserve"> noting that in 2025 L&amp;G was due to commence voting against the re-election of the chair at FTSE 250 companies that, according to the Parker Review, fail to have any ethnic minority board director. </w:t>
      </w:r>
    </w:p>
    <w:p w14:paraId="41C39132" w14:textId="77777777" w:rsidR="00D170C3" w:rsidRPr="00D170C3" w:rsidRDefault="00D170C3" w:rsidP="00D170C3">
      <w:pPr>
        <w:ind w:left="360"/>
        <w:rPr>
          <w:rFonts w:cs="Calibri"/>
          <w:sz w:val="22"/>
          <w:szCs w:val="22"/>
        </w:rPr>
      </w:pPr>
    </w:p>
    <w:p w14:paraId="0729C051" w14:textId="5C4F9CA3" w:rsidR="00D170C3" w:rsidRPr="00D170C3" w:rsidRDefault="00D170C3" w:rsidP="00D170C3">
      <w:pPr>
        <w:pStyle w:val="ListParagraph"/>
        <w:numPr>
          <w:ilvl w:val="0"/>
          <w:numId w:val="3"/>
        </w:numPr>
        <w:rPr>
          <w:rFonts w:eastAsia="Times New Roman" w:cs="Calibri"/>
          <w:color w:val="000000" w:themeColor="text1"/>
          <w:sz w:val="22"/>
          <w:szCs w:val="22"/>
        </w:rPr>
      </w:pPr>
      <w:r w:rsidRPr="00D170C3">
        <w:rPr>
          <w:rFonts w:eastAsia="Times New Roman" w:cs="Calibri"/>
          <w:bCs/>
          <w:color w:val="000000" w:themeColor="text1"/>
          <w:sz w:val="22"/>
          <w:szCs w:val="22"/>
        </w:rPr>
        <w:t>whether L&amp;G had voted against any companies for failures to publish equality monitoring data and whether L&amp;G had voted in this way in relation to any company resolutions as opposed to supporting shareholder resolutions.</w:t>
      </w:r>
    </w:p>
    <w:p w14:paraId="67C38943" w14:textId="77777777" w:rsidR="00D170C3" w:rsidRPr="00D170C3" w:rsidRDefault="00D170C3" w:rsidP="00D170C3">
      <w:pPr>
        <w:rPr>
          <w:rFonts w:cs="Calibri"/>
          <w:color w:val="FF0000"/>
          <w:sz w:val="22"/>
          <w:szCs w:val="22"/>
        </w:rPr>
      </w:pPr>
    </w:p>
    <w:p w14:paraId="4F8EBBE3" w14:textId="20B6B94F" w:rsidR="00D170C3" w:rsidRPr="00D170C3" w:rsidRDefault="00D170C3" w:rsidP="00D170C3">
      <w:pPr>
        <w:rPr>
          <w:rFonts w:cs="Calibri"/>
          <w:sz w:val="22"/>
          <w:szCs w:val="22"/>
        </w:rPr>
      </w:pPr>
      <w:r w:rsidRPr="00D170C3">
        <w:rPr>
          <w:rFonts w:cs="Calibri"/>
          <w:sz w:val="22"/>
          <w:szCs w:val="22"/>
        </w:rPr>
        <w:t>L&amp;G responded that following Hargreaves Lansdown's delisting in March 2025 no AGM had been held; at Intermediate Capital Group, having manually reviewed the board composition, L&amp;G did not apply votes against on the basis of our diversity principles; and at United Utilities, they had noted progress made on ethnic diversity at board level.</w:t>
      </w:r>
    </w:p>
    <w:p w14:paraId="31CAD8B2" w14:textId="77777777" w:rsidR="00D170C3" w:rsidRPr="00D170C3" w:rsidRDefault="00D170C3" w:rsidP="00D170C3">
      <w:pPr>
        <w:rPr>
          <w:rFonts w:cs="Calibri"/>
          <w:b/>
          <w:bCs/>
          <w:sz w:val="22"/>
          <w:szCs w:val="22"/>
          <w:highlight w:val="yellow"/>
        </w:rPr>
      </w:pPr>
    </w:p>
    <w:p w14:paraId="4DE7E75A" w14:textId="34E4CEC1"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They also reported that having expanded their diversity principles for FTSE 350 and Russell 1000 companies to include at least one person from an ethnically diverse minority background at board </w:t>
      </w:r>
      <w:r w:rsidRPr="00D170C3">
        <w:rPr>
          <w:rFonts w:cs="Calibri"/>
          <w:color w:val="000000" w:themeColor="text1"/>
          <w:sz w:val="22"/>
          <w:szCs w:val="22"/>
        </w:rPr>
        <w:lastRenderedPageBreak/>
        <w:t>level, in 2025 L&amp;</w:t>
      </w:r>
      <w:proofErr w:type="gramStart"/>
      <w:r w:rsidRPr="00D170C3">
        <w:rPr>
          <w:rFonts w:cs="Calibri"/>
          <w:color w:val="000000" w:themeColor="text1"/>
          <w:sz w:val="22"/>
          <w:szCs w:val="22"/>
        </w:rPr>
        <w:t>G  voted</w:t>
      </w:r>
      <w:proofErr w:type="gramEnd"/>
      <w:r w:rsidRPr="00D170C3">
        <w:rPr>
          <w:rFonts w:cs="Calibri"/>
          <w:color w:val="000000" w:themeColor="text1"/>
          <w:sz w:val="22"/>
          <w:szCs w:val="22"/>
        </w:rPr>
        <w:t xml:space="preserve"> against 27 companies under this </w:t>
      </w:r>
      <w:proofErr w:type="gramStart"/>
      <w:r w:rsidRPr="00D170C3">
        <w:rPr>
          <w:rFonts w:cs="Calibri"/>
          <w:color w:val="000000" w:themeColor="text1"/>
          <w:sz w:val="22"/>
          <w:szCs w:val="22"/>
        </w:rPr>
        <w:t>principles</w:t>
      </w:r>
      <w:proofErr w:type="gramEnd"/>
      <w:r w:rsidRPr="00D170C3">
        <w:rPr>
          <w:rFonts w:cs="Calibri"/>
          <w:color w:val="000000" w:themeColor="text1"/>
          <w:sz w:val="22"/>
          <w:szCs w:val="22"/>
        </w:rPr>
        <w:t xml:space="preserve"> expectation (11 UK FTSE 350 companies and 16 Russell 1000 companies).</w:t>
      </w:r>
    </w:p>
    <w:p w14:paraId="54A3347F" w14:textId="77777777" w:rsidR="00D170C3" w:rsidRPr="00D170C3" w:rsidRDefault="00D170C3" w:rsidP="00D170C3">
      <w:pPr>
        <w:rPr>
          <w:rFonts w:cs="Calibri"/>
          <w:b/>
          <w:bCs/>
          <w:sz w:val="22"/>
          <w:szCs w:val="22"/>
        </w:rPr>
      </w:pPr>
    </w:p>
    <w:p w14:paraId="1421CCF2" w14:textId="4F24762B" w:rsidR="00D170C3" w:rsidRPr="00D170C3" w:rsidRDefault="00D170C3" w:rsidP="00D170C3">
      <w:pPr>
        <w:rPr>
          <w:rFonts w:cs="Calibri"/>
          <w:sz w:val="22"/>
          <w:szCs w:val="22"/>
        </w:rPr>
      </w:pPr>
      <w:r w:rsidRPr="00D170C3">
        <w:rPr>
          <w:rFonts w:cs="Calibri"/>
          <w:sz w:val="22"/>
          <w:szCs w:val="22"/>
        </w:rPr>
        <w:t xml:space="preserve">Regarding company failures to publish equality monitoring data, L&amp;G stated that their policy does not apply a vote against management for this criterion. </w:t>
      </w:r>
    </w:p>
    <w:p w14:paraId="51A2A4AA" w14:textId="77777777" w:rsidR="00D170C3" w:rsidRPr="00D170C3" w:rsidRDefault="00D170C3" w:rsidP="00D170C3">
      <w:pPr>
        <w:rPr>
          <w:rFonts w:cs="Calibri"/>
          <w:i/>
          <w:iCs/>
          <w:sz w:val="22"/>
          <w:szCs w:val="22"/>
        </w:rPr>
      </w:pPr>
    </w:p>
    <w:p w14:paraId="30FD60AF" w14:textId="77777777" w:rsidR="00D170C3" w:rsidRPr="00D170C3" w:rsidRDefault="00D170C3" w:rsidP="00D170C3">
      <w:pPr>
        <w:rPr>
          <w:rFonts w:cs="Calibri"/>
          <w:i/>
          <w:iCs/>
          <w:sz w:val="22"/>
          <w:szCs w:val="22"/>
        </w:rPr>
      </w:pPr>
    </w:p>
    <w:p w14:paraId="57F895ED" w14:textId="0C581461" w:rsidR="00D170C3" w:rsidRPr="00D170C3" w:rsidRDefault="00D170C3" w:rsidP="00D170C3">
      <w:pPr>
        <w:rPr>
          <w:rFonts w:cs="Calibri"/>
          <w:b/>
          <w:bCs/>
          <w:sz w:val="22"/>
          <w:szCs w:val="22"/>
        </w:rPr>
      </w:pPr>
      <w:r w:rsidRPr="00D170C3">
        <w:rPr>
          <w:rFonts w:cs="Calibri"/>
          <w:b/>
          <w:bCs/>
          <w:sz w:val="22"/>
          <w:szCs w:val="22"/>
        </w:rPr>
        <w:t xml:space="preserve">Newton: </w:t>
      </w:r>
    </w:p>
    <w:p w14:paraId="346132EA" w14:textId="759E9757" w:rsidR="00D170C3" w:rsidRPr="00D170C3" w:rsidRDefault="00D170C3" w:rsidP="00D170C3">
      <w:pPr>
        <w:autoSpaceDE w:val="0"/>
        <w:autoSpaceDN w:val="0"/>
        <w:adjustRightInd w:val="0"/>
        <w:rPr>
          <w:rFonts w:cs="Calibri"/>
          <w:color w:val="000000"/>
          <w:sz w:val="22"/>
          <w:szCs w:val="22"/>
        </w:rPr>
      </w:pPr>
      <w:r w:rsidRPr="00D170C3">
        <w:rPr>
          <w:rFonts w:cs="Calibri"/>
          <w:color w:val="000000"/>
          <w:sz w:val="22"/>
          <w:szCs w:val="22"/>
        </w:rPr>
        <w:t>The Trustee was extremely disappointed that Newton's excellent section on diversity in their 2024 governance principles had been excluded from their 2025 principles and asked whether the Trustee should conclude that</w:t>
      </w:r>
      <w:r>
        <w:rPr>
          <w:rFonts w:cs="Calibri"/>
          <w:color w:val="000000"/>
          <w:sz w:val="22"/>
          <w:szCs w:val="22"/>
        </w:rPr>
        <w:t xml:space="preserve"> </w:t>
      </w:r>
      <w:r w:rsidRPr="00D170C3">
        <w:rPr>
          <w:rFonts w:cs="Calibri"/>
          <w:color w:val="000000"/>
          <w:sz w:val="22"/>
          <w:szCs w:val="22"/>
        </w:rPr>
        <w:t xml:space="preserve">Newton no longer considers </w:t>
      </w:r>
      <w:r>
        <w:rPr>
          <w:rFonts w:cs="Calibri"/>
          <w:color w:val="000000"/>
          <w:sz w:val="22"/>
          <w:szCs w:val="22"/>
        </w:rPr>
        <w:t>"</w:t>
      </w:r>
      <w:r w:rsidRPr="00D170C3">
        <w:rPr>
          <w:rFonts w:cs="Calibri"/>
          <w:color w:val="000000"/>
          <w:sz w:val="22"/>
          <w:szCs w:val="22"/>
        </w:rPr>
        <w:t>boards that embrace diversity, as manifested through appropriate gender and racial representation and a broad spectrum of skills and experience, are more likely to achieve better long-term outcomes for our clients by reducing 'groupthink' and bringing a wider set of ideas and perspectives".</w:t>
      </w:r>
    </w:p>
    <w:p w14:paraId="0FEB10CE" w14:textId="77777777" w:rsidR="00D170C3" w:rsidRPr="00D170C3" w:rsidRDefault="00D170C3" w:rsidP="00D170C3">
      <w:pPr>
        <w:rPr>
          <w:rFonts w:cs="Calibri"/>
          <w:color w:val="000000"/>
          <w:sz w:val="22"/>
          <w:szCs w:val="22"/>
          <w:highlight w:val="cyan"/>
        </w:rPr>
      </w:pPr>
    </w:p>
    <w:p w14:paraId="76D040E3" w14:textId="7F2EE5E0"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The Trustee reported on the Parker Review data as set out above. </w:t>
      </w:r>
    </w:p>
    <w:p w14:paraId="2E5634EF" w14:textId="77777777" w:rsidR="00D170C3" w:rsidRPr="00D170C3" w:rsidRDefault="00D170C3" w:rsidP="00D170C3">
      <w:pPr>
        <w:autoSpaceDE w:val="0"/>
        <w:autoSpaceDN w:val="0"/>
        <w:adjustRightInd w:val="0"/>
        <w:rPr>
          <w:rFonts w:cs="Calibri"/>
          <w:color w:val="EE0000"/>
          <w:sz w:val="22"/>
          <w:szCs w:val="22"/>
          <w:lang w:val="en-US"/>
        </w:rPr>
      </w:pPr>
    </w:p>
    <w:p w14:paraId="3C398107" w14:textId="22FB6F1A"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Significant votes:</w:t>
      </w:r>
    </w:p>
    <w:p w14:paraId="6177ACAF" w14:textId="29860BA3"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The Trustee asked Newton</w:t>
      </w:r>
    </w:p>
    <w:p w14:paraId="0517B8F9" w14:textId="694BF6AE" w:rsidR="00D170C3" w:rsidRPr="00D170C3" w:rsidRDefault="00D170C3" w:rsidP="00D170C3">
      <w:pPr>
        <w:pStyle w:val="ListParagraph"/>
        <w:numPr>
          <w:ilvl w:val="0"/>
          <w:numId w:val="3"/>
        </w:numPr>
        <w:rPr>
          <w:rFonts w:eastAsia="Times New Roman" w:cs="Calibri"/>
          <w:color w:val="000000" w:themeColor="text1"/>
          <w:sz w:val="22"/>
          <w:szCs w:val="22"/>
        </w:rPr>
      </w:pPr>
      <w:r w:rsidRPr="00D170C3">
        <w:rPr>
          <w:rFonts w:eastAsia="Times New Roman" w:cs="Calibri"/>
          <w:bCs/>
          <w:color w:val="000000" w:themeColor="text1"/>
          <w:sz w:val="22"/>
          <w:szCs w:val="22"/>
        </w:rPr>
        <w:t>to explain why they had no vote against any director at Intermediate Capital Group and Persimmon, the FTSE 100 companies with no ethnic minority directors;</w:t>
      </w:r>
    </w:p>
    <w:p w14:paraId="5D321E51" w14:textId="6587EE24" w:rsidR="00D170C3" w:rsidRPr="00D170C3" w:rsidRDefault="00D170C3" w:rsidP="00D170C3">
      <w:pPr>
        <w:pStyle w:val="ListParagraph"/>
        <w:numPr>
          <w:ilvl w:val="0"/>
          <w:numId w:val="3"/>
        </w:numPr>
        <w:rPr>
          <w:rFonts w:eastAsia="Times New Roman" w:cs="Calibri"/>
          <w:color w:val="000000" w:themeColor="text1"/>
          <w:sz w:val="22"/>
          <w:szCs w:val="22"/>
        </w:rPr>
      </w:pPr>
      <w:r w:rsidRPr="00D170C3">
        <w:rPr>
          <w:rFonts w:eastAsia="Times New Roman" w:cs="Calibri"/>
          <w:bCs/>
          <w:color w:val="000000" w:themeColor="text1"/>
          <w:sz w:val="22"/>
          <w:szCs w:val="22"/>
        </w:rPr>
        <w:t>whether Newton has engaged or voted against directors at the 32 FTSE 250 companies with all-white boards and whether they had any plans to do so in future;</w:t>
      </w:r>
    </w:p>
    <w:p w14:paraId="309ED005" w14:textId="1B52927A" w:rsidR="00D170C3" w:rsidRPr="00D170C3" w:rsidRDefault="00D170C3" w:rsidP="00D170C3">
      <w:pPr>
        <w:pStyle w:val="ListParagraph"/>
        <w:numPr>
          <w:ilvl w:val="0"/>
          <w:numId w:val="3"/>
        </w:numPr>
        <w:autoSpaceDE w:val="0"/>
        <w:autoSpaceDN w:val="0"/>
        <w:adjustRightInd w:val="0"/>
        <w:rPr>
          <w:rFonts w:cs="Calibri"/>
          <w:color w:val="000000" w:themeColor="text1"/>
          <w:sz w:val="22"/>
          <w:szCs w:val="22"/>
          <w:lang w:val="en-US"/>
        </w:rPr>
      </w:pPr>
      <w:r w:rsidRPr="00D170C3">
        <w:rPr>
          <w:rFonts w:eastAsia="Times New Roman" w:cs="Calibri"/>
          <w:bCs/>
          <w:color w:val="000000" w:themeColor="text1"/>
          <w:sz w:val="22"/>
          <w:szCs w:val="22"/>
        </w:rPr>
        <w:t xml:space="preserve">Whether Newton had voted against any companies for failures to publish equality monitoring data and </w:t>
      </w:r>
      <w:proofErr w:type="spellStart"/>
      <w:r w:rsidRPr="00D170C3">
        <w:rPr>
          <w:rFonts w:eastAsia="Times New Roman" w:cs="Calibri"/>
          <w:bCs/>
          <w:color w:val="000000" w:themeColor="text1"/>
          <w:sz w:val="22"/>
          <w:szCs w:val="22"/>
        </w:rPr>
        <w:t>whther</w:t>
      </w:r>
      <w:proofErr w:type="spellEnd"/>
      <w:r w:rsidRPr="00D170C3">
        <w:rPr>
          <w:rFonts w:eastAsia="Times New Roman" w:cs="Calibri"/>
          <w:bCs/>
          <w:color w:val="000000" w:themeColor="text1"/>
          <w:sz w:val="22"/>
          <w:szCs w:val="22"/>
        </w:rPr>
        <w:t xml:space="preserve"> Newton has voted in this way in relation to any company resolutions;</w:t>
      </w:r>
    </w:p>
    <w:p w14:paraId="579F1054" w14:textId="2D4C40FC" w:rsidR="00D170C3" w:rsidRPr="00D170C3" w:rsidRDefault="00D170C3" w:rsidP="00D170C3">
      <w:pPr>
        <w:pStyle w:val="ListParagraph"/>
        <w:numPr>
          <w:ilvl w:val="0"/>
          <w:numId w:val="3"/>
        </w:num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to explain why they voted against motion 8 at the Walmart June 2025 AGM, which called for a </w:t>
      </w:r>
      <w:proofErr w:type="gramStart"/>
      <w:r w:rsidRPr="00D170C3">
        <w:rPr>
          <w:rFonts w:cs="Calibri"/>
          <w:color w:val="000000" w:themeColor="text1"/>
          <w:sz w:val="22"/>
          <w:szCs w:val="22"/>
          <w:lang w:val="en-US"/>
        </w:rPr>
        <w:t>third party</w:t>
      </w:r>
      <w:proofErr w:type="gramEnd"/>
      <w:r w:rsidRPr="00D170C3">
        <w:rPr>
          <w:rFonts w:cs="Calibri"/>
          <w:color w:val="000000" w:themeColor="text1"/>
          <w:sz w:val="22"/>
          <w:szCs w:val="22"/>
          <w:lang w:val="en-US"/>
        </w:rPr>
        <w:t xml:space="preserve"> racial equity audit, contrary to other fund managers.</w:t>
      </w:r>
    </w:p>
    <w:p w14:paraId="6C2A7897" w14:textId="77777777" w:rsidR="00D170C3" w:rsidRPr="00D170C3" w:rsidRDefault="00D170C3" w:rsidP="00D170C3">
      <w:pPr>
        <w:rPr>
          <w:rFonts w:cs="Calibri"/>
          <w:i/>
          <w:iCs/>
          <w:sz w:val="22"/>
          <w:szCs w:val="22"/>
        </w:rPr>
      </w:pPr>
    </w:p>
    <w:p w14:paraId="1AB47E9B" w14:textId="5AB152B4" w:rsidR="00D170C3" w:rsidRPr="00D170C3" w:rsidRDefault="00D170C3" w:rsidP="00D170C3">
      <w:pPr>
        <w:autoSpaceDE w:val="0"/>
        <w:autoSpaceDN w:val="0"/>
        <w:adjustRightInd w:val="0"/>
        <w:rPr>
          <w:rFonts w:cs="Calibri"/>
          <w:i/>
          <w:iCs/>
          <w:sz w:val="22"/>
          <w:szCs w:val="22"/>
        </w:rPr>
      </w:pPr>
      <w:r w:rsidRPr="00D170C3">
        <w:rPr>
          <w:rFonts w:cs="Calibri"/>
          <w:sz w:val="22"/>
          <w:szCs w:val="22"/>
        </w:rPr>
        <w:t xml:space="preserve">Newton declined to respond to these questions. Their 2025 voting season report </w:t>
      </w:r>
      <w:r>
        <w:rPr>
          <w:rFonts w:cs="Calibri"/>
          <w:sz w:val="22"/>
          <w:szCs w:val="22"/>
        </w:rPr>
        <w:t>appeared</w:t>
      </w:r>
      <w:r w:rsidRPr="00D170C3">
        <w:rPr>
          <w:rFonts w:cs="Calibri"/>
          <w:sz w:val="22"/>
          <w:szCs w:val="22"/>
        </w:rPr>
        <w:t xml:space="preserve"> not</w:t>
      </w:r>
      <w:r>
        <w:rPr>
          <w:rFonts w:cs="Calibri"/>
          <w:sz w:val="22"/>
          <w:szCs w:val="22"/>
        </w:rPr>
        <w:t xml:space="preserve"> to</w:t>
      </w:r>
      <w:r w:rsidRPr="00D170C3">
        <w:rPr>
          <w:rFonts w:cs="Calibri"/>
          <w:sz w:val="22"/>
          <w:szCs w:val="22"/>
        </w:rPr>
        <w:t xml:space="preserve"> mention equality, women, race or ethnic minorities at all, and diversity </w:t>
      </w:r>
      <w:r>
        <w:rPr>
          <w:rFonts w:cs="Calibri"/>
          <w:sz w:val="22"/>
          <w:szCs w:val="22"/>
        </w:rPr>
        <w:t>appeared to have been</w:t>
      </w:r>
      <w:r w:rsidRPr="00D170C3">
        <w:rPr>
          <w:rFonts w:cs="Calibri"/>
          <w:sz w:val="22"/>
          <w:szCs w:val="22"/>
        </w:rPr>
        <w:t xml:space="preserve"> </w:t>
      </w:r>
      <w:r>
        <w:rPr>
          <w:rFonts w:cs="Calibri"/>
          <w:sz w:val="22"/>
          <w:szCs w:val="22"/>
        </w:rPr>
        <w:t>mentioned</w:t>
      </w:r>
      <w:r w:rsidRPr="00D170C3">
        <w:rPr>
          <w:rFonts w:cs="Calibri"/>
          <w:sz w:val="22"/>
          <w:szCs w:val="22"/>
        </w:rPr>
        <w:t xml:space="preserve"> </w:t>
      </w:r>
      <w:r>
        <w:rPr>
          <w:rFonts w:cs="Calibri"/>
          <w:sz w:val="22"/>
          <w:szCs w:val="22"/>
        </w:rPr>
        <w:t xml:space="preserve">only </w:t>
      </w:r>
      <w:r w:rsidRPr="00D170C3">
        <w:rPr>
          <w:rFonts w:cs="Calibri"/>
          <w:sz w:val="22"/>
          <w:szCs w:val="22"/>
        </w:rPr>
        <w:t>once in the context that "While diversity, equity and inclusion (DE&amp;I) resolutions and climate-related proposals faced reduced enthusiasm and fewer submissions amid shifting priorities, political spending proposals emerged as a counterpoint, reflecting heightened scrutiny in a polarised environment."</w:t>
      </w:r>
    </w:p>
    <w:p w14:paraId="434A77DA" w14:textId="77777777" w:rsidR="00D170C3" w:rsidRPr="00D170C3" w:rsidRDefault="00D170C3" w:rsidP="00D170C3">
      <w:pPr>
        <w:rPr>
          <w:rFonts w:cs="Calibri"/>
          <w:i/>
          <w:iCs/>
          <w:sz w:val="22"/>
          <w:szCs w:val="22"/>
        </w:rPr>
      </w:pPr>
    </w:p>
    <w:p w14:paraId="72D4A748" w14:textId="7B4066FE"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3.4. Freedom of association and recognition of trade unions</w:t>
      </w:r>
    </w:p>
    <w:p w14:paraId="6322682B" w14:textId="175C9349" w:rsidR="00D170C3" w:rsidRPr="00D170C3" w:rsidRDefault="00D170C3" w:rsidP="00D170C3">
      <w:pPr>
        <w:autoSpaceDE w:val="0"/>
        <w:autoSpaceDN w:val="0"/>
        <w:adjustRightInd w:val="0"/>
        <w:rPr>
          <w:rFonts w:cs="Calibri"/>
          <w:color w:val="000000" w:themeColor="text1"/>
          <w:sz w:val="22"/>
          <w:szCs w:val="22"/>
          <w:lang w:val="en-US"/>
        </w:rPr>
      </w:pPr>
      <w:r>
        <w:rPr>
          <w:rFonts w:cs="Calibri"/>
          <w:color w:val="000000" w:themeColor="text1"/>
          <w:sz w:val="22"/>
          <w:szCs w:val="22"/>
          <w:lang w:val="en-US"/>
        </w:rPr>
        <w:t>T</w:t>
      </w:r>
      <w:r w:rsidRPr="00D170C3">
        <w:rPr>
          <w:rFonts w:cs="Calibri"/>
          <w:color w:val="000000" w:themeColor="text1"/>
          <w:sz w:val="22"/>
          <w:szCs w:val="22"/>
          <w:lang w:val="en-US"/>
        </w:rPr>
        <w:t xml:space="preserve">he Trustee's voting policy sets out a vote against the re-election of the chair of the main board if there is a failure to abide by the UN Global Compact standards on freedom of association, including the recognition of independent trade unions for the purpose of collective agreement. Principle 3 of the UN Global Compact is the clearest of all the Global Compact Principles. It states: </w:t>
      </w:r>
      <w:r w:rsidRPr="00D170C3">
        <w:rPr>
          <w:rFonts w:cs="Calibri"/>
          <w:color w:val="000000" w:themeColor="text1"/>
          <w:sz w:val="22"/>
          <w:szCs w:val="22"/>
        </w:rPr>
        <w:t>"</w:t>
      </w:r>
      <w:r w:rsidRPr="00D170C3">
        <w:rPr>
          <w:rFonts w:cs="Calibri"/>
          <w:color w:val="000000" w:themeColor="text1"/>
          <w:sz w:val="22"/>
          <w:szCs w:val="22"/>
          <w:shd w:val="clear" w:color="auto" w:fill="FFFFFF"/>
        </w:rPr>
        <w:t xml:space="preserve">Businesses should uphold the freedom of association and the effective recognition of the right to collective bargaining".  </w:t>
      </w:r>
    </w:p>
    <w:p w14:paraId="3A0332EE" w14:textId="77777777" w:rsidR="00D170C3" w:rsidRPr="00D170C3" w:rsidRDefault="00D170C3" w:rsidP="00D170C3">
      <w:pPr>
        <w:autoSpaceDE w:val="0"/>
        <w:autoSpaceDN w:val="0"/>
        <w:adjustRightInd w:val="0"/>
        <w:rPr>
          <w:rFonts w:cs="Calibri"/>
          <w:color w:val="000000" w:themeColor="text1"/>
          <w:sz w:val="22"/>
          <w:szCs w:val="22"/>
          <w:lang w:val="en-US"/>
        </w:rPr>
      </w:pPr>
    </w:p>
    <w:p w14:paraId="27C5B139" w14:textId="3083E5AE" w:rsidR="00D170C3" w:rsidRPr="00D170C3" w:rsidRDefault="00D170C3" w:rsidP="00D170C3">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This is particularly important as the scheme sponsor of the Trustee's three pension schemes is a major trade union and all the scheme members are </w:t>
      </w:r>
      <w:r>
        <w:rPr>
          <w:rFonts w:cs="Calibri"/>
          <w:color w:val="000000" w:themeColor="text1"/>
          <w:sz w:val="22"/>
          <w:szCs w:val="22"/>
          <w:lang w:val="en-US"/>
        </w:rPr>
        <w:t xml:space="preserve">or have been </w:t>
      </w:r>
      <w:r w:rsidRPr="00D170C3">
        <w:rPr>
          <w:rFonts w:cs="Calibri"/>
          <w:color w:val="000000" w:themeColor="text1"/>
          <w:sz w:val="22"/>
          <w:szCs w:val="22"/>
          <w:lang w:val="en-US"/>
        </w:rPr>
        <w:t xml:space="preserve">trade union officials and staff. </w:t>
      </w:r>
    </w:p>
    <w:p w14:paraId="662CAC99" w14:textId="77777777" w:rsidR="00D170C3" w:rsidRPr="00D170C3" w:rsidRDefault="00D170C3" w:rsidP="00D170C3">
      <w:pPr>
        <w:autoSpaceDE w:val="0"/>
        <w:autoSpaceDN w:val="0"/>
        <w:adjustRightInd w:val="0"/>
        <w:rPr>
          <w:rFonts w:cs="Calibri"/>
          <w:color w:val="000000" w:themeColor="text1"/>
          <w:sz w:val="22"/>
          <w:szCs w:val="22"/>
          <w:lang w:val="en-US"/>
        </w:rPr>
      </w:pPr>
    </w:p>
    <w:p w14:paraId="5AE66211" w14:textId="6A799D93" w:rsidR="00D170C3" w:rsidRPr="00D170C3" w:rsidRDefault="00D170C3" w:rsidP="00D170C3">
      <w:pPr>
        <w:autoSpaceDE w:val="0"/>
        <w:autoSpaceDN w:val="0"/>
        <w:adjustRightInd w:val="0"/>
        <w:rPr>
          <w:rFonts w:cs="Calibri"/>
          <w:sz w:val="22"/>
          <w:szCs w:val="22"/>
        </w:rPr>
      </w:pPr>
      <w:r w:rsidRPr="00D170C3">
        <w:rPr>
          <w:rFonts w:eastAsia="Times New Roman" w:cs="Calibri"/>
          <w:color w:val="333333"/>
          <w:sz w:val="22"/>
          <w:szCs w:val="22"/>
          <w:shd w:val="clear" w:color="auto" w:fill="FCFDFD"/>
          <w:lang w:eastAsia="en-GB"/>
        </w:rPr>
        <w:t xml:space="preserve">The Trustee welcomed L&amp;G's voting policy in relation to the denial of trade union rights in contravention of UNGC Principle 3, in which L&amp;G is committed to voting </w:t>
      </w:r>
      <w:r w:rsidRPr="00D170C3">
        <w:rPr>
          <w:rFonts w:eastAsia="Times New Roman" w:cs="Calibri"/>
          <w:color w:val="000000" w:themeColor="text1"/>
          <w:sz w:val="22"/>
          <w:szCs w:val="22"/>
        </w:rPr>
        <w:t>against the chair or</w:t>
      </w:r>
      <w:r w:rsidRPr="00D170C3">
        <w:rPr>
          <w:rFonts w:cs="Calibri"/>
          <w:sz w:val="22"/>
          <w:szCs w:val="22"/>
        </w:rPr>
        <w:t xml:space="preserve"> other directors of any company that is in breach of the UN Global Compact, including Principle 3.  "Following the roll-out of further, deeper engagements on human rights in 2024, we will aim to </w:t>
      </w:r>
      <w:r w:rsidRPr="00D170C3">
        <w:rPr>
          <w:rFonts w:cs="Calibri"/>
          <w:sz w:val="22"/>
          <w:szCs w:val="22"/>
        </w:rPr>
        <w:lastRenderedPageBreak/>
        <w:t>implement a new voting policy from 2025. Application of this policy will be based on third-party data and voting will be escalated in subsequent years."</w:t>
      </w:r>
    </w:p>
    <w:p w14:paraId="534D0303" w14:textId="77777777" w:rsidR="00D170C3" w:rsidRPr="00D170C3" w:rsidRDefault="00D170C3" w:rsidP="00D170C3">
      <w:pPr>
        <w:autoSpaceDE w:val="0"/>
        <w:autoSpaceDN w:val="0"/>
        <w:adjustRightInd w:val="0"/>
        <w:rPr>
          <w:rFonts w:cs="Calibri"/>
          <w:sz w:val="22"/>
          <w:szCs w:val="22"/>
        </w:rPr>
      </w:pPr>
    </w:p>
    <w:p w14:paraId="4C7965F4" w14:textId="25DEBE6B" w:rsidR="00D170C3" w:rsidRPr="00D170C3" w:rsidRDefault="00D170C3" w:rsidP="00D170C3">
      <w:pPr>
        <w:rPr>
          <w:rFonts w:eastAsia="Times New Roman" w:cs="Calibri"/>
          <w:sz w:val="22"/>
          <w:szCs w:val="22"/>
        </w:rPr>
      </w:pPr>
      <w:r w:rsidRPr="00D170C3">
        <w:rPr>
          <w:rFonts w:cs="Calibri"/>
          <w:sz w:val="22"/>
          <w:szCs w:val="22"/>
        </w:rPr>
        <w:t xml:space="preserve">The Trustee had studied L&amp;G's voting records </w:t>
      </w:r>
      <w:proofErr w:type="gramStart"/>
      <w:r w:rsidRPr="00D170C3">
        <w:rPr>
          <w:rFonts w:cs="Calibri"/>
          <w:sz w:val="22"/>
          <w:szCs w:val="22"/>
        </w:rPr>
        <w:t>with regard to</w:t>
      </w:r>
      <w:proofErr w:type="gramEnd"/>
      <w:r w:rsidRPr="00D170C3">
        <w:rPr>
          <w:rFonts w:cs="Calibri"/>
          <w:sz w:val="22"/>
          <w:szCs w:val="22"/>
        </w:rPr>
        <w:t xml:space="preserve"> several companies where concerns have been</w:t>
      </w:r>
      <w:r w:rsidRPr="00D170C3">
        <w:rPr>
          <w:rFonts w:eastAsia="Times New Roman" w:cs="Calibri"/>
          <w:color w:val="000000" w:themeColor="text1"/>
          <w:sz w:val="22"/>
          <w:szCs w:val="22"/>
        </w:rPr>
        <w:t xml:space="preserve"> expressed about their stance on trade unions and there have been reports that they were pursuing anti-union activities. </w:t>
      </w:r>
      <w:r w:rsidRPr="00D170C3">
        <w:rPr>
          <w:rFonts w:eastAsia="Times New Roman" w:cs="Calibri"/>
          <w:sz w:val="22"/>
          <w:szCs w:val="22"/>
        </w:rPr>
        <w:t xml:space="preserve">These were Alphabet, Amazon, Starbucks, Tesla, and Walmart. Some of these have a growing base in the UK. </w:t>
      </w:r>
    </w:p>
    <w:p w14:paraId="68490FA4" w14:textId="77777777" w:rsidR="00D170C3" w:rsidRPr="00D170C3" w:rsidRDefault="00D170C3" w:rsidP="00D170C3">
      <w:pPr>
        <w:rPr>
          <w:rFonts w:eastAsia="Times New Roman" w:cs="Calibri"/>
          <w:sz w:val="22"/>
          <w:szCs w:val="22"/>
        </w:rPr>
      </w:pPr>
    </w:p>
    <w:p w14:paraId="55E9E3CA" w14:textId="2E1F0990" w:rsidR="00D170C3" w:rsidRPr="00D170C3" w:rsidRDefault="00D170C3" w:rsidP="00D170C3">
      <w:pPr>
        <w:rPr>
          <w:rFonts w:eastAsia="Times New Roman" w:cs="Calibri"/>
          <w:sz w:val="22"/>
          <w:szCs w:val="22"/>
        </w:rPr>
      </w:pPr>
      <w:r w:rsidRPr="00D170C3">
        <w:rPr>
          <w:rFonts w:eastAsia="Times New Roman" w:cs="Calibri"/>
          <w:sz w:val="22"/>
          <w:szCs w:val="22"/>
        </w:rPr>
        <w:t xml:space="preserve">The Trustee applauded L&amp;G's support for the shareholder resolution at Amazon calling for an independent audit and report on warehouse working conditions and their support at Tesla for a report on harassment and discrimination prevention efforts and for the company to adopt a non-interference policy respecting freedom of association. </w:t>
      </w:r>
      <w:proofErr w:type="gramStart"/>
      <w:r w:rsidRPr="00D170C3">
        <w:rPr>
          <w:rFonts w:eastAsia="Times New Roman" w:cs="Calibri"/>
          <w:sz w:val="22"/>
          <w:szCs w:val="22"/>
        </w:rPr>
        <w:t>However</w:t>
      </w:r>
      <w:proofErr w:type="gramEnd"/>
      <w:r w:rsidRPr="00D170C3">
        <w:rPr>
          <w:rFonts w:eastAsia="Times New Roman" w:cs="Calibri"/>
          <w:sz w:val="22"/>
          <w:szCs w:val="22"/>
        </w:rPr>
        <w:t xml:space="preserve"> it was noted that L&amp;G took no negative voting action at the AGMs of Alphabet, Starbucks and Walmart. </w:t>
      </w:r>
    </w:p>
    <w:p w14:paraId="08D494BA" w14:textId="77777777" w:rsidR="00D170C3" w:rsidRPr="00D170C3" w:rsidRDefault="00D170C3" w:rsidP="00D170C3">
      <w:pPr>
        <w:autoSpaceDE w:val="0"/>
        <w:autoSpaceDN w:val="0"/>
        <w:adjustRightInd w:val="0"/>
        <w:rPr>
          <w:rFonts w:cs="Calibri"/>
          <w:sz w:val="22"/>
          <w:szCs w:val="22"/>
        </w:rPr>
      </w:pPr>
    </w:p>
    <w:p w14:paraId="5E5A5CF7" w14:textId="2CCDDD59" w:rsidR="00D170C3" w:rsidRPr="00D170C3" w:rsidRDefault="00D170C3" w:rsidP="00D170C3">
      <w:pPr>
        <w:autoSpaceDE w:val="0"/>
        <w:autoSpaceDN w:val="0"/>
        <w:adjustRightInd w:val="0"/>
        <w:rPr>
          <w:rFonts w:cs="Calibri"/>
          <w:sz w:val="22"/>
          <w:szCs w:val="22"/>
        </w:rPr>
      </w:pPr>
      <w:r w:rsidRPr="00D170C3">
        <w:rPr>
          <w:rFonts w:cs="Calibri"/>
          <w:sz w:val="22"/>
          <w:szCs w:val="22"/>
        </w:rPr>
        <w:t xml:space="preserve">The Trustee had raised concerns with L&amp;G in previous correspondence about the non-inclusion of these companies in L&amp;G's Future World Protection List, which lists companies that had acted in breach of the UN Global Compact,  despite their very long record of anti-union activity in breach of UNGC principle 3,  and L&amp;G had responded that they use data for the identification of companies in breach of the principles provided by a well-known and highly respected ESG data provider and asked the Trustee to note that the data provider "does not identify these companies as being in breach of the United Nations Global Compact." The Trustee noted that a year later the List still does not include any of these companies despite their years-long anti-union actions and L&amp;G voting for a shareholder resolution at Tesla citing "the company's </w:t>
      </w:r>
      <w:proofErr w:type="gramStart"/>
      <w:r w:rsidRPr="00D170C3">
        <w:rPr>
          <w:rFonts w:cs="Calibri"/>
          <w:sz w:val="22"/>
          <w:szCs w:val="22"/>
        </w:rPr>
        <w:t>recently-received</w:t>
      </w:r>
      <w:proofErr w:type="gramEnd"/>
      <w:r w:rsidRPr="00D170C3">
        <w:rPr>
          <w:rFonts w:cs="Calibri"/>
          <w:sz w:val="22"/>
          <w:szCs w:val="22"/>
        </w:rPr>
        <w:t xml:space="preserve"> allegations of workplace harassment".</w:t>
      </w:r>
    </w:p>
    <w:p w14:paraId="4BAD4ED0" w14:textId="77777777" w:rsidR="00D170C3" w:rsidRPr="00D170C3" w:rsidRDefault="00D170C3" w:rsidP="00D170C3">
      <w:pPr>
        <w:autoSpaceDE w:val="0"/>
        <w:autoSpaceDN w:val="0"/>
        <w:adjustRightInd w:val="0"/>
        <w:rPr>
          <w:rFonts w:cs="Calibri"/>
          <w:sz w:val="22"/>
          <w:szCs w:val="22"/>
        </w:rPr>
      </w:pPr>
    </w:p>
    <w:p w14:paraId="52B56EA8" w14:textId="639F1D5C" w:rsidR="00D170C3" w:rsidRPr="00D170C3" w:rsidRDefault="00D170C3" w:rsidP="00D170C3">
      <w:pPr>
        <w:rPr>
          <w:rFonts w:cs="Calibri"/>
          <w:b/>
          <w:bCs/>
          <w:color w:val="000000" w:themeColor="text1"/>
          <w:sz w:val="22"/>
          <w:szCs w:val="22"/>
        </w:rPr>
      </w:pPr>
      <w:r w:rsidRPr="00D170C3">
        <w:rPr>
          <w:rFonts w:cs="Calibri"/>
          <w:sz w:val="22"/>
          <w:szCs w:val="22"/>
        </w:rPr>
        <w:t xml:space="preserve">L&amp;G's </w:t>
      </w:r>
      <w:r w:rsidRPr="00D170C3">
        <w:rPr>
          <w:rFonts w:cs="Calibri"/>
          <w:i/>
          <w:iCs/>
          <w:sz w:val="22"/>
          <w:szCs w:val="22"/>
        </w:rPr>
        <w:t>Human rights expectations and approach</w:t>
      </w:r>
      <w:r w:rsidRPr="00D170C3">
        <w:rPr>
          <w:rFonts w:cs="Calibri"/>
          <w:sz w:val="22"/>
          <w:szCs w:val="22"/>
        </w:rPr>
        <w:t xml:space="preserve"> states: "Following the roll-out of further, deeper engagements on human rights in 2024, we will aim to implement a new voting policy from 2025. Application of this policy will be based on third-party data and voting will be escalated in subsequent years. As well as undertaking voting activity, we may decide to pre-declare our votes on our dedicated blog post 18 to raise awareness of the issue to the market, and as an escalation activity within our engagement activity." </w:t>
      </w:r>
    </w:p>
    <w:p w14:paraId="15630EDB" w14:textId="77777777" w:rsidR="00D170C3" w:rsidRPr="00D170C3" w:rsidRDefault="00D170C3" w:rsidP="00D170C3">
      <w:pPr>
        <w:autoSpaceDE w:val="0"/>
        <w:autoSpaceDN w:val="0"/>
        <w:adjustRightInd w:val="0"/>
        <w:rPr>
          <w:rFonts w:cs="Calibri"/>
          <w:sz w:val="22"/>
          <w:szCs w:val="22"/>
        </w:rPr>
      </w:pPr>
    </w:p>
    <w:p w14:paraId="143DA9A6" w14:textId="77777777" w:rsidR="00D170C3" w:rsidRPr="00D170C3" w:rsidRDefault="00D170C3" w:rsidP="00D170C3">
      <w:pPr>
        <w:autoSpaceDE w:val="0"/>
        <w:autoSpaceDN w:val="0"/>
        <w:adjustRightInd w:val="0"/>
        <w:rPr>
          <w:rFonts w:cs="Calibri"/>
          <w:sz w:val="22"/>
          <w:szCs w:val="22"/>
        </w:rPr>
      </w:pPr>
    </w:p>
    <w:p w14:paraId="1CA200BA" w14:textId="77777777" w:rsidR="00D170C3" w:rsidRPr="00D170C3" w:rsidRDefault="00D170C3" w:rsidP="00D170C3">
      <w:pPr>
        <w:autoSpaceDE w:val="0"/>
        <w:autoSpaceDN w:val="0"/>
        <w:adjustRightInd w:val="0"/>
        <w:rPr>
          <w:rFonts w:cs="Calibri"/>
          <w:b/>
          <w:bCs/>
          <w:sz w:val="22"/>
          <w:szCs w:val="22"/>
        </w:rPr>
      </w:pPr>
      <w:r w:rsidRPr="00D170C3">
        <w:rPr>
          <w:rFonts w:cs="Calibri"/>
          <w:b/>
          <w:bCs/>
          <w:sz w:val="22"/>
          <w:szCs w:val="22"/>
        </w:rPr>
        <w:t>Significant votes</w:t>
      </w:r>
    </w:p>
    <w:p w14:paraId="050259BB" w14:textId="408E1B7D" w:rsidR="00D170C3" w:rsidRPr="00D170C3" w:rsidRDefault="00D170C3" w:rsidP="00D170C3">
      <w:pPr>
        <w:autoSpaceDE w:val="0"/>
        <w:autoSpaceDN w:val="0"/>
        <w:adjustRightInd w:val="0"/>
        <w:rPr>
          <w:rFonts w:cs="Calibri"/>
          <w:sz w:val="22"/>
          <w:szCs w:val="22"/>
        </w:rPr>
      </w:pPr>
      <w:r w:rsidRPr="00D170C3">
        <w:rPr>
          <w:rFonts w:cs="Calibri"/>
          <w:sz w:val="22"/>
          <w:szCs w:val="22"/>
        </w:rPr>
        <w:t>The Trustee asked L&amp;G:</w:t>
      </w:r>
    </w:p>
    <w:p w14:paraId="0E02949F" w14:textId="0C6D43B6" w:rsidR="00D170C3" w:rsidRPr="00D170C3" w:rsidRDefault="00D170C3" w:rsidP="00D170C3">
      <w:pPr>
        <w:pStyle w:val="ListParagraph"/>
        <w:numPr>
          <w:ilvl w:val="0"/>
          <w:numId w:val="4"/>
        </w:numPr>
        <w:autoSpaceDE w:val="0"/>
        <w:autoSpaceDN w:val="0"/>
        <w:adjustRightInd w:val="0"/>
        <w:rPr>
          <w:rFonts w:cs="Calibri"/>
          <w:sz w:val="22"/>
          <w:szCs w:val="22"/>
        </w:rPr>
      </w:pPr>
      <w:r w:rsidRPr="00D170C3">
        <w:rPr>
          <w:rFonts w:cs="Calibri"/>
          <w:sz w:val="22"/>
          <w:szCs w:val="22"/>
        </w:rPr>
        <w:t xml:space="preserve">to explain whether they agree with their highly respected ESG data provider's view that these companies, which for years have been actively preventing trade unions from representing their workforces, should not be featured in the Future World Protection List. </w:t>
      </w:r>
    </w:p>
    <w:p w14:paraId="140C6252" w14:textId="77777777" w:rsidR="00D170C3" w:rsidRPr="00D170C3" w:rsidRDefault="00D170C3" w:rsidP="00D170C3">
      <w:pPr>
        <w:autoSpaceDE w:val="0"/>
        <w:autoSpaceDN w:val="0"/>
        <w:adjustRightInd w:val="0"/>
        <w:ind w:left="360"/>
        <w:rPr>
          <w:rFonts w:cs="Calibri"/>
          <w:sz w:val="22"/>
          <w:szCs w:val="22"/>
        </w:rPr>
      </w:pPr>
    </w:p>
    <w:p w14:paraId="3A248D00" w14:textId="502A910A" w:rsidR="00D170C3" w:rsidRPr="00D170C3" w:rsidRDefault="00D170C3" w:rsidP="00D170C3">
      <w:pPr>
        <w:pStyle w:val="ListParagraph"/>
        <w:numPr>
          <w:ilvl w:val="0"/>
          <w:numId w:val="4"/>
        </w:numPr>
        <w:autoSpaceDE w:val="0"/>
        <w:autoSpaceDN w:val="0"/>
        <w:adjustRightInd w:val="0"/>
        <w:rPr>
          <w:rFonts w:cs="Calibri"/>
          <w:sz w:val="22"/>
          <w:szCs w:val="22"/>
        </w:rPr>
      </w:pPr>
      <w:r w:rsidRPr="00D170C3">
        <w:rPr>
          <w:rFonts w:cs="Calibri"/>
          <w:sz w:val="22"/>
          <w:szCs w:val="22"/>
        </w:rPr>
        <w:t xml:space="preserve">to clarify whether Principle 3 breaches are excluded by your data provider, or whether these five companies are too important to be added to the list. </w:t>
      </w:r>
    </w:p>
    <w:p w14:paraId="27420F18" w14:textId="77777777" w:rsidR="00D170C3" w:rsidRPr="00D170C3" w:rsidRDefault="00D170C3" w:rsidP="00D170C3">
      <w:pPr>
        <w:autoSpaceDE w:val="0"/>
        <w:autoSpaceDN w:val="0"/>
        <w:adjustRightInd w:val="0"/>
        <w:ind w:left="360"/>
        <w:rPr>
          <w:rFonts w:cs="Calibri"/>
          <w:sz w:val="22"/>
          <w:szCs w:val="22"/>
        </w:rPr>
      </w:pPr>
    </w:p>
    <w:p w14:paraId="2C49DA3F" w14:textId="628C0FCD" w:rsidR="00D170C3" w:rsidRPr="00D170C3" w:rsidRDefault="00D170C3" w:rsidP="00D170C3">
      <w:pPr>
        <w:pStyle w:val="ListParagraph"/>
        <w:numPr>
          <w:ilvl w:val="0"/>
          <w:numId w:val="4"/>
        </w:numPr>
        <w:autoSpaceDE w:val="0"/>
        <w:autoSpaceDN w:val="0"/>
        <w:adjustRightInd w:val="0"/>
        <w:rPr>
          <w:rFonts w:cs="Calibri"/>
          <w:sz w:val="22"/>
          <w:szCs w:val="22"/>
        </w:rPr>
      </w:pPr>
      <w:r w:rsidRPr="00D170C3">
        <w:rPr>
          <w:rFonts w:cs="Calibri"/>
          <w:sz w:val="22"/>
          <w:szCs w:val="22"/>
        </w:rPr>
        <w:t xml:space="preserve">to confirm whether L&amp;G will be voting against the chairs of the boards of these companies at their next AGMs if their anti-union practices continue. </w:t>
      </w:r>
    </w:p>
    <w:p w14:paraId="28466427" w14:textId="77777777" w:rsidR="00D170C3" w:rsidRPr="00D170C3" w:rsidRDefault="00D170C3" w:rsidP="00D170C3">
      <w:pPr>
        <w:autoSpaceDE w:val="0"/>
        <w:autoSpaceDN w:val="0"/>
        <w:adjustRightInd w:val="0"/>
        <w:ind w:left="360"/>
        <w:rPr>
          <w:rFonts w:cs="Calibri"/>
          <w:sz w:val="22"/>
          <w:szCs w:val="22"/>
        </w:rPr>
      </w:pPr>
    </w:p>
    <w:p w14:paraId="2F7CE7AA" w14:textId="578D5A6E" w:rsidR="00D170C3" w:rsidRPr="00D170C3" w:rsidRDefault="00D170C3" w:rsidP="00D170C3">
      <w:pPr>
        <w:pStyle w:val="ListParagraph"/>
        <w:numPr>
          <w:ilvl w:val="0"/>
          <w:numId w:val="4"/>
        </w:numPr>
        <w:autoSpaceDE w:val="0"/>
        <w:autoSpaceDN w:val="0"/>
        <w:adjustRightInd w:val="0"/>
        <w:rPr>
          <w:rFonts w:cs="Calibri"/>
          <w:sz w:val="22"/>
          <w:szCs w:val="22"/>
        </w:rPr>
      </w:pPr>
      <w:r w:rsidRPr="00D170C3">
        <w:rPr>
          <w:rFonts w:cs="Calibri"/>
          <w:sz w:val="22"/>
          <w:szCs w:val="22"/>
        </w:rPr>
        <w:t>to explain what their new human rights policy has been for 2025 and why it appears not to have influenced their votes at Alphabet, Starbucks and Walmart.</w:t>
      </w:r>
    </w:p>
    <w:p w14:paraId="65D020C6" w14:textId="77777777" w:rsidR="00D170C3" w:rsidRPr="00D170C3" w:rsidRDefault="00D170C3" w:rsidP="00D170C3">
      <w:pPr>
        <w:rPr>
          <w:rFonts w:cs="Calibri"/>
          <w:sz w:val="22"/>
          <w:szCs w:val="22"/>
        </w:rPr>
      </w:pPr>
    </w:p>
    <w:p w14:paraId="443B0785" w14:textId="6D80733E" w:rsidR="00D170C3" w:rsidRPr="00D170C3" w:rsidRDefault="00D170C3" w:rsidP="00D170C3">
      <w:pPr>
        <w:rPr>
          <w:rFonts w:cs="Calibri"/>
          <w:color w:val="000000" w:themeColor="text1"/>
          <w:sz w:val="22"/>
          <w:szCs w:val="22"/>
        </w:rPr>
      </w:pPr>
      <w:r w:rsidRPr="00D170C3">
        <w:rPr>
          <w:rFonts w:cs="Calibri"/>
          <w:sz w:val="22"/>
          <w:szCs w:val="22"/>
        </w:rPr>
        <w:t>L&amp;G pointed to their</w:t>
      </w:r>
      <w:r w:rsidRPr="00D170C3">
        <w:rPr>
          <w:rFonts w:cs="Calibri"/>
          <w:color w:val="000000" w:themeColor="text1"/>
          <w:sz w:val="22"/>
          <w:szCs w:val="22"/>
          <w:lang w:val="en-US"/>
        </w:rPr>
        <w:t xml:space="preserve"> Future World Protection list </w:t>
      </w:r>
      <w:proofErr w:type="gramStart"/>
      <w:r w:rsidRPr="00D170C3">
        <w:rPr>
          <w:rFonts w:cs="Calibri"/>
          <w:color w:val="000000" w:themeColor="text1"/>
          <w:sz w:val="22"/>
          <w:szCs w:val="22"/>
          <w:lang w:val="en-US"/>
        </w:rPr>
        <w:t>methodology  and</w:t>
      </w:r>
      <w:proofErr w:type="gramEnd"/>
      <w:r w:rsidRPr="00D170C3">
        <w:rPr>
          <w:rFonts w:cs="Calibri"/>
          <w:color w:val="000000" w:themeColor="text1"/>
          <w:sz w:val="22"/>
          <w:szCs w:val="22"/>
          <w:lang w:val="en-US"/>
        </w:rPr>
        <w:t xml:space="preserve"> stated again that they use data for the identification of companies in breach of the principles provided by a well-known and highly </w:t>
      </w:r>
      <w:r w:rsidRPr="00D170C3">
        <w:rPr>
          <w:rFonts w:cs="Calibri"/>
          <w:color w:val="000000" w:themeColor="text1"/>
          <w:sz w:val="22"/>
          <w:szCs w:val="22"/>
          <w:lang w:val="en-US"/>
        </w:rPr>
        <w:lastRenderedPageBreak/>
        <w:t>respected ESG data provider who does not identify these companies as being in breach of the UNGC.</w:t>
      </w:r>
      <w:r w:rsidRPr="00D170C3">
        <w:rPr>
          <w:rFonts w:cs="Calibri"/>
          <w:color w:val="000000" w:themeColor="text1"/>
          <w:sz w:val="22"/>
          <w:szCs w:val="22"/>
        </w:rPr>
        <w:t> </w:t>
      </w:r>
    </w:p>
    <w:p w14:paraId="279C4BF7"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321B039F" w14:textId="69E51BB0" w:rsidR="00D170C3" w:rsidRPr="00D170C3" w:rsidRDefault="00D170C3" w:rsidP="00D170C3">
      <w:pPr>
        <w:rPr>
          <w:rFonts w:cs="Calibri"/>
          <w:color w:val="000000" w:themeColor="text1"/>
          <w:sz w:val="22"/>
          <w:szCs w:val="22"/>
        </w:rPr>
      </w:pPr>
      <w:r w:rsidRPr="00D170C3">
        <w:rPr>
          <w:rFonts w:cs="Calibri"/>
          <w:color w:val="000000" w:themeColor="text1"/>
          <w:sz w:val="22"/>
          <w:szCs w:val="22"/>
          <w:lang w:val="en-US"/>
        </w:rPr>
        <w:t>They added that a responsible investor and a responsible corporate citizen, they commit to respecting and protecting human rights to the best of their abilities and support the human rights principles described in their document, guided by international principles and standards which are: </w:t>
      </w:r>
      <w:r w:rsidRPr="00D170C3">
        <w:rPr>
          <w:rFonts w:cs="Calibri"/>
          <w:color w:val="000000" w:themeColor="text1"/>
          <w:sz w:val="22"/>
          <w:szCs w:val="22"/>
        </w:rPr>
        <w:t> </w:t>
      </w:r>
    </w:p>
    <w:p w14:paraId="5166A9C7"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6A8C07EA" w14:textId="77777777" w:rsidR="00D170C3" w:rsidRPr="00D170C3" w:rsidRDefault="00D170C3" w:rsidP="00D170C3">
      <w:pPr>
        <w:numPr>
          <w:ilvl w:val="0"/>
          <w:numId w:val="8"/>
        </w:numPr>
        <w:rPr>
          <w:rFonts w:cs="Calibri"/>
          <w:color w:val="000000" w:themeColor="text1"/>
          <w:sz w:val="22"/>
          <w:szCs w:val="22"/>
        </w:rPr>
      </w:pPr>
      <w:r w:rsidRPr="00D170C3">
        <w:rPr>
          <w:rFonts w:cs="Calibri"/>
          <w:color w:val="000000" w:themeColor="text1"/>
          <w:sz w:val="22"/>
          <w:szCs w:val="22"/>
          <w:lang w:val="en-US"/>
        </w:rPr>
        <w:t>International Bill of Human Rights</w:t>
      </w:r>
      <w:r w:rsidRPr="00D170C3">
        <w:rPr>
          <w:rFonts w:cs="Calibri"/>
          <w:color w:val="000000" w:themeColor="text1"/>
          <w:sz w:val="22"/>
          <w:szCs w:val="22"/>
        </w:rPr>
        <w:t> </w:t>
      </w:r>
    </w:p>
    <w:p w14:paraId="191886EF" w14:textId="77777777" w:rsidR="00D170C3" w:rsidRPr="00D170C3" w:rsidRDefault="00D170C3" w:rsidP="00D170C3">
      <w:pPr>
        <w:numPr>
          <w:ilvl w:val="0"/>
          <w:numId w:val="9"/>
        </w:numPr>
        <w:rPr>
          <w:rFonts w:cs="Calibri"/>
          <w:color w:val="000000" w:themeColor="text1"/>
          <w:sz w:val="22"/>
          <w:szCs w:val="22"/>
        </w:rPr>
      </w:pPr>
      <w:r w:rsidRPr="00D170C3">
        <w:rPr>
          <w:rFonts w:cs="Calibri"/>
          <w:color w:val="000000" w:themeColor="text1"/>
          <w:sz w:val="22"/>
          <w:szCs w:val="22"/>
          <w:lang w:val="en-US"/>
        </w:rPr>
        <w:t>United Nations Guiding Principles for Business and Human Rights (UNGP)</w:t>
      </w:r>
      <w:r w:rsidRPr="00D170C3">
        <w:rPr>
          <w:rFonts w:cs="Calibri"/>
          <w:color w:val="000000" w:themeColor="text1"/>
          <w:sz w:val="22"/>
          <w:szCs w:val="22"/>
        </w:rPr>
        <w:t> </w:t>
      </w:r>
    </w:p>
    <w:p w14:paraId="5CFD3A04" w14:textId="77777777" w:rsidR="00D170C3" w:rsidRPr="00D170C3" w:rsidRDefault="00D170C3" w:rsidP="00D170C3">
      <w:pPr>
        <w:numPr>
          <w:ilvl w:val="0"/>
          <w:numId w:val="10"/>
        </w:numPr>
        <w:rPr>
          <w:rFonts w:cs="Calibri"/>
          <w:color w:val="000000" w:themeColor="text1"/>
          <w:sz w:val="22"/>
          <w:szCs w:val="22"/>
        </w:rPr>
      </w:pPr>
      <w:r w:rsidRPr="00D170C3">
        <w:rPr>
          <w:rFonts w:cs="Calibri"/>
          <w:color w:val="000000" w:themeColor="text1"/>
          <w:sz w:val="22"/>
          <w:szCs w:val="22"/>
          <w:lang w:val="en-US"/>
        </w:rPr>
        <w:t>United Nations Global Compact (UNGC)</w:t>
      </w:r>
      <w:r w:rsidRPr="00D170C3">
        <w:rPr>
          <w:rFonts w:cs="Calibri"/>
          <w:color w:val="000000" w:themeColor="text1"/>
          <w:sz w:val="22"/>
          <w:szCs w:val="22"/>
        </w:rPr>
        <w:t> </w:t>
      </w:r>
    </w:p>
    <w:p w14:paraId="79A79852" w14:textId="77777777" w:rsidR="00D170C3" w:rsidRPr="00D170C3" w:rsidRDefault="00D170C3" w:rsidP="00D170C3">
      <w:pPr>
        <w:numPr>
          <w:ilvl w:val="0"/>
          <w:numId w:val="7"/>
        </w:numPr>
        <w:rPr>
          <w:rFonts w:cs="Calibri"/>
          <w:color w:val="000000" w:themeColor="text1"/>
          <w:sz w:val="22"/>
          <w:szCs w:val="22"/>
        </w:rPr>
      </w:pPr>
      <w:r w:rsidRPr="00D170C3">
        <w:rPr>
          <w:rFonts w:cs="Calibri"/>
          <w:color w:val="000000" w:themeColor="text1"/>
          <w:sz w:val="22"/>
          <w:szCs w:val="22"/>
          <w:lang w:val="en-US"/>
        </w:rPr>
        <w:t xml:space="preserve">International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Organization’s (ILO)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standards</w:t>
      </w:r>
      <w:r w:rsidRPr="00D170C3">
        <w:rPr>
          <w:rFonts w:cs="Calibri"/>
          <w:color w:val="000000" w:themeColor="text1"/>
          <w:sz w:val="22"/>
          <w:szCs w:val="22"/>
        </w:rPr>
        <w:t> </w:t>
      </w:r>
    </w:p>
    <w:p w14:paraId="2D8B7F12" w14:textId="77777777" w:rsidR="00D170C3" w:rsidRPr="00D170C3" w:rsidRDefault="00D170C3" w:rsidP="00D170C3">
      <w:pPr>
        <w:numPr>
          <w:ilvl w:val="0"/>
          <w:numId w:val="11"/>
        </w:numPr>
        <w:rPr>
          <w:rFonts w:cs="Calibri"/>
          <w:color w:val="000000" w:themeColor="text1"/>
          <w:sz w:val="22"/>
          <w:szCs w:val="22"/>
        </w:rPr>
      </w:pPr>
      <w:r w:rsidRPr="00D170C3">
        <w:rPr>
          <w:rFonts w:cs="Calibri"/>
          <w:color w:val="000000" w:themeColor="text1"/>
          <w:sz w:val="22"/>
          <w:szCs w:val="22"/>
          <w:lang w:val="en-US"/>
        </w:rPr>
        <w:t xml:space="preserve">International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Organization’s (ILO) Core Conventions</w:t>
      </w:r>
      <w:r w:rsidRPr="00D170C3">
        <w:rPr>
          <w:rFonts w:cs="Calibri"/>
          <w:color w:val="000000" w:themeColor="text1"/>
          <w:sz w:val="22"/>
          <w:szCs w:val="22"/>
        </w:rPr>
        <w:t> </w:t>
      </w:r>
    </w:p>
    <w:p w14:paraId="5B96A3FD" w14:textId="77777777" w:rsidR="00D170C3" w:rsidRPr="00D170C3" w:rsidRDefault="00D170C3" w:rsidP="00D170C3">
      <w:pPr>
        <w:numPr>
          <w:ilvl w:val="0"/>
          <w:numId w:val="12"/>
        </w:numPr>
        <w:rPr>
          <w:rFonts w:cs="Calibri"/>
          <w:color w:val="000000" w:themeColor="text1"/>
          <w:sz w:val="22"/>
          <w:szCs w:val="22"/>
        </w:rPr>
      </w:pPr>
      <w:r w:rsidRPr="00D170C3">
        <w:rPr>
          <w:rFonts w:cs="Calibri"/>
          <w:color w:val="000000" w:themeColor="text1"/>
          <w:sz w:val="22"/>
          <w:szCs w:val="22"/>
          <w:lang w:val="en-US"/>
        </w:rPr>
        <w:t>The OECD Guidelines for Multinational Enterprises (MNEs) </w:t>
      </w:r>
      <w:r w:rsidRPr="00D170C3">
        <w:rPr>
          <w:rFonts w:cs="Calibri"/>
          <w:color w:val="000000" w:themeColor="text1"/>
          <w:sz w:val="22"/>
          <w:szCs w:val="22"/>
        </w:rPr>
        <w:t> </w:t>
      </w:r>
    </w:p>
    <w:p w14:paraId="3D1E0191"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3A8CE751" w14:textId="5D329BFD" w:rsidR="00D170C3" w:rsidRPr="00D170C3" w:rsidRDefault="00D170C3" w:rsidP="00D170C3">
      <w:pPr>
        <w:rPr>
          <w:rFonts w:cs="Calibri"/>
          <w:color w:val="000000" w:themeColor="text1"/>
          <w:sz w:val="22"/>
          <w:szCs w:val="22"/>
          <w:lang w:val="en-US"/>
        </w:rPr>
      </w:pPr>
      <w:r w:rsidRPr="00D170C3">
        <w:rPr>
          <w:rFonts w:cs="Calibri"/>
          <w:color w:val="000000" w:themeColor="text1"/>
          <w:sz w:val="22"/>
          <w:szCs w:val="22"/>
          <w:lang w:val="en-US"/>
        </w:rPr>
        <w:t xml:space="preserve">These standards focus on human rights, society,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and environment. L&amp;G believe this helps their clients avoid reputational damage and to proactively manage related financial risks. They acknowledged the complexity of human rights issues and the potential impacts and how a company integrates human rights into business strategy and decisions is critical. </w:t>
      </w:r>
    </w:p>
    <w:p w14:paraId="53348857" w14:textId="3515D1A5" w:rsidR="00D170C3" w:rsidRPr="00D170C3" w:rsidRDefault="00D170C3" w:rsidP="00D170C3">
      <w:pPr>
        <w:rPr>
          <w:rFonts w:cs="Calibri"/>
          <w:color w:val="000000" w:themeColor="text1"/>
          <w:sz w:val="22"/>
          <w:szCs w:val="22"/>
          <w:lang w:val="en-US"/>
        </w:rPr>
      </w:pPr>
      <w:r w:rsidRPr="00D170C3">
        <w:rPr>
          <w:rFonts w:cs="Calibri"/>
          <w:color w:val="000000" w:themeColor="text1"/>
          <w:sz w:val="22"/>
          <w:szCs w:val="22"/>
          <w:lang w:val="en-US"/>
        </w:rPr>
        <w:t xml:space="preserve">As a global investor, L&amp;G stated that they focus on using their leverage to influence and hold investee companies accountable for their human rights performance and to raise standards. When referring to human rights in our expectations for companies, L&amp;G considers the following salient topics to be most relevant to business, where companies can collectively impact and drive material changes. This is not intended to be an exhaustive list of human rights topics; we would expect companies to identify the salient topics that are relevant and material to their operations and value chains. </w:t>
      </w:r>
    </w:p>
    <w:p w14:paraId="5EF270B0" w14:textId="77777777" w:rsidR="00D170C3" w:rsidRPr="00D170C3" w:rsidRDefault="00D170C3" w:rsidP="00D170C3">
      <w:pPr>
        <w:rPr>
          <w:rFonts w:cs="Calibri"/>
          <w:color w:val="000000" w:themeColor="text1"/>
          <w:sz w:val="22"/>
          <w:szCs w:val="22"/>
          <w:lang w:val="en-US"/>
        </w:rPr>
      </w:pPr>
    </w:p>
    <w:p w14:paraId="432EFDA7" w14:textId="26154570"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Alphabet, Starbucks and Walmart were not deemed to be in direct breach, through their own actions or activities, of one or more human rights related United Nations Global Compact (UNGC) Principles (Principles 1-6) for a continuous period of two years or more. </w:t>
      </w:r>
    </w:p>
    <w:p w14:paraId="7CC5D1AC" w14:textId="77777777" w:rsidR="00D170C3" w:rsidRPr="00D170C3" w:rsidRDefault="00D170C3" w:rsidP="00D170C3">
      <w:pPr>
        <w:rPr>
          <w:rFonts w:cs="Calibri"/>
          <w:color w:val="000000" w:themeColor="text1"/>
          <w:sz w:val="22"/>
          <w:szCs w:val="22"/>
        </w:rPr>
      </w:pPr>
    </w:p>
    <w:p w14:paraId="4C09A3CD" w14:textId="3BC84867" w:rsidR="00D170C3" w:rsidRPr="00D170C3" w:rsidRDefault="00D170C3" w:rsidP="00D170C3">
      <w:pPr>
        <w:rPr>
          <w:rFonts w:cs="Calibri"/>
          <w:color w:val="000000" w:themeColor="text1"/>
          <w:sz w:val="22"/>
          <w:szCs w:val="22"/>
        </w:rPr>
      </w:pPr>
      <w:r w:rsidRPr="00D170C3">
        <w:rPr>
          <w:rFonts w:cs="Calibri"/>
          <w:color w:val="000000" w:themeColor="text1"/>
          <w:sz w:val="22"/>
          <w:szCs w:val="22"/>
        </w:rPr>
        <w:t>They added that they had voted against management on two items at Wal Mart’s 2025 AGM related to human rights and social resilience: a vote against the chair for failing to meet L&amp;G’s minimum expectations under the 2023 income inequality engagement campaign, and a vote against the chair of the nominating and governance committee over lack of gender diversity on the board.</w:t>
      </w:r>
    </w:p>
    <w:p w14:paraId="28DDD41A" w14:textId="77777777" w:rsidR="00D170C3" w:rsidRPr="00D170C3" w:rsidRDefault="00D170C3" w:rsidP="00D170C3">
      <w:pPr>
        <w:rPr>
          <w:rFonts w:cs="Calibri"/>
          <w:color w:val="000000" w:themeColor="text1"/>
          <w:sz w:val="22"/>
          <w:szCs w:val="22"/>
          <w:highlight w:val="yellow"/>
        </w:rPr>
      </w:pPr>
    </w:p>
    <w:p w14:paraId="611EC11C" w14:textId="4364D216"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L&amp;G stated that they voted against management on several social topics at Alphabet’s 2025 AGM. They voted against Alphabet’s chair of the nominating and corporate governance committee over lack of gender diversity on the </w:t>
      </w:r>
      <w:proofErr w:type="gramStart"/>
      <w:r w:rsidRPr="00D170C3">
        <w:rPr>
          <w:rFonts w:cs="Calibri"/>
          <w:color w:val="000000" w:themeColor="text1"/>
          <w:sz w:val="22"/>
          <w:szCs w:val="22"/>
        </w:rPr>
        <w:t>board, and</w:t>
      </w:r>
      <w:proofErr w:type="gramEnd"/>
      <w:r w:rsidRPr="00D170C3">
        <w:rPr>
          <w:rFonts w:cs="Calibri"/>
          <w:color w:val="000000" w:themeColor="text1"/>
          <w:sz w:val="22"/>
          <w:szCs w:val="22"/>
        </w:rPr>
        <w:t xml:space="preserve"> supported a shareholder proposal requesting a “Report on Due Diligence Process to Assess Human Rights Risks in High-Risk Countries”; and supported another shareholder proposal seeking publication of a “Human Rights Impact Assessment of AI-Driven Targeted Advertising.” They also supported shareholder proposals related to the use of external data in development of AI, child safety online, and evaluating YouTube child safety policies.</w:t>
      </w:r>
    </w:p>
    <w:p w14:paraId="73E33CF0" w14:textId="77777777" w:rsidR="00D170C3" w:rsidRPr="00D170C3" w:rsidRDefault="00D170C3" w:rsidP="00D170C3">
      <w:pPr>
        <w:rPr>
          <w:rFonts w:cs="Calibri"/>
          <w:color w:val="000000" w:themeColor="text1"/>
          <w:sz w:val="22"/>
          <w:szCs w:val="22"/>
        </w:rPr>
      </w:pPr>
    </w:p>
    <w:p w14:paraId="6FA5C75C" w14:textId="57965FC6" w:rsidR="00D170C3" w:rsidRPr="00D170C3" w:rsidRDefault="00D170C3" w:rsidP="00D170C3">
      <w:pPr>
        <w:rPr>
          <w:rFonts w:cs="Calibri"/>
          <w:color w:val="000000" w:themeColor="text1"/>
          <w:sz w:val="22"/>
          <w:szCs w:val="22"/>
        </w:rPr>
      </w:pPr>
      <w:r w:rsidRPr="00D170C3">
        <w:rPr>
          <w:rFonts w:cs="Calibri"/>
          <w:color w:val="000000" w:themeColor="text1"/>
          <w:sz w:val="22"/>
          <w:szCs w:val="22"/>
        </w:rPr>
        <w:t>At Starbucks’s most recent 2026 AGM, L&amp;G voted against the election of director Jorgen </w:t>
      </w:r>
      <w:proofErr w:type="spellStart"/>
      <w:r w:rsidRPr="00D170C3">
        <w:rPr>
          <w:rFonts w:cs="Calibri"/>
          <w:color w:val="000000" w:themeColor="text1"/>
          <w:sz w:val="22"/>
          <w:szCs w:val="22"/>
        </w:rPr>
        <w:t>Vig</w:t>
      </w:r>
      <w:proofErr w:type="spellEnd"/>
      <w:r w:rsidRPr="00D170C3">
        <w:rPr>
          <w:rFonts w:cs="Calibri"/>
          <w:color w:val="000000" w:themeColor="text1"/>
          <w:sz w:val="22"/>
          <w:szCs w:val="22"/>
        </w:rPr>
        <w:t xml:space="preserve"> Knudstorp over human rights and labour concerns. They voted against this </w:t>
      </w:r>
      <w:proofErr w:type="gramStart"/>
      <w:r w:rsidRPr="00D170C3">
        <w:rPr>
          <w:rFonts w:cs="Calibri"/>
          <w:color w:val="000000" w:themeColor="text1"/>
          <w:sz w:val="22"/>
          <w:szCs w:val="22"/>
        </w:rPr>
        <w:t>director in particular, because</w:t>
      </w:r>
      <w:proofErr w:type="gramEnd"/>
      <w:r w:rsidRPr="00D170C3">
        <w:rPr>
          <w:rFonts w:cs="Calibri"/>
          <w:color w:val="000000" w:themeColor="text1"/>
          <w:sz w:val="22"/>
          <w:szCs w:val="22"/>
        </w:rPr>
        <w:t xml:space="preserve"> during his time as chairman of the nominations and governance committee, the company continued to experience labour disputes, which included a settlement cost of </w:t>
      </w:r>
      <w:proofErr w:type="gramStart"/>
      <w:r w:rsidRPr="00D170C3">
        <w:rPr>
          <w:rFonts w:cs="Calibri"/>
          <w:color w:val="000000" w:themeColor="text1"/>
          <w:sz w:val="22"/>
          <w:szCs w:val="22"/>
        </w:rPr>
        <w:t>US$38.9-million</w:t>
      </w:r>
      <w:proofErr w:type="gramEnd"/>
      <w:r w:rsidRPr="00D170C3">
        <w:rPr>
          <w:rFonts w:cs="Calibri"/>
          <w:color w:val="000000" w:themeColor="text1"/>
          <w:sz w:val="22"/>
          <w:szCs w:val="22"/>
        </w:rPr>
        <w:t xml:space="preserve"> for fair workweek violations in New York involving 15,000 workers and over 500,000 alleged violations. Strike action and labour law disputes increase the company's risk profile and can be a taint on its reputation. This distracts from the efforts the company has made to improve its wages and a benefits package which they consider is industry leading. L&amp;G stated that this vote was </w:t>
      </w:r>
      <w:r w:rsidRPr="00D170C3">
        <w:rPr>
          <w:rFonts w:cs="Calibri"/>
          <w:color w:val="000000" w:themeColor="text1"/>
          <w:sz w:val="22"/>
          <w:szCs w:val="22"/>
        </w:rPr>
        <w:lastRenderedPageBreak/>
        <w:t>intended to send a signal to the board (who should take ownership for labour practices) that investors expect action to eliminate future labour law violations and disputes. </w:t>
      </w:r>
    </w:p>
    <w:p w14:paraId="51CAF98E" w14:textId="77777777" w:rsidR="00D170C3" w:rsidRPr="00D170C3" w:rsidRDefault="00D170C3" w:rsidP="00D170C3">
      <w:pPr>
        <w:rPr>
          <w:rFonts w:cs="Calibri"/>
          <w:sz w:val="22"/>
          <w:szCs w:val="22"/>
        </w:rPr>
      </w:pPr>
    </w:p>
    <w:p w14:paraId="467093B7" w14:textId="2EEF29D4" w:rsidR="00D170C3" w:rsidRPr="00D170C3" w:rsidRDefault="00D170C3" w:rsidP="00D170C3">
      <w:pPr>
        <w:rPr>
          <w:rFonts w:cs="Calibri"/>
          <w:b/>
          <w:bCs/>
          <w:sz w:val="22"/>
          <w:szCs w:val="22"/>
        </w:rPr>
      </w:pPr>
      <w:r w:rsidRPr="00D170C3">
        <w:rPr>
          <w:rFonts w:cs="Calibri"/>
          <w:b/>
          <w:bCs/>
          <w:sz w:val="22"/>
          <w:szCs w:val="22"/>
        </w:rPr>
        <w:t>Newton:</w:t>
      </w:r>
    </w:p>
    <w:p w14:paraId="67DF9DBC" w14:textId="4644D2AE" w:rsidR="00D170C3" w:rsidRPr="00D170C3" w:rsidRDefault="00D170C3" w:rsidP="00D170C3">
      <w:pPr>
        <w:rPr>
          <w:rFonts w:cs="Calibri"/>
          <w:b/>
          <w:bCs/>
          <w:sz w:val="22"/>
          <w:szCs w:val="22"/>
        </w:rPr>
      </w:pPr>
      <w:r w:rsidRPr="00D170C3">
        <w:rPr>
          <w:rFonts w:cs="Calibri"/>
          <w:sz w:val="22"/>
          <w:szCs w:val="22"/>
        </w:rPr>
        <w:t xml:space="preserve">The Trustee was extremely disappointed that it appeared that Newton has dropped its 2024 policy to "generally support proposals on human capital management that strengthen workforce engagement, its health and safety, and its diversity, and proposals that provide for additional material information on the company’s practices in this area." </w:t>
      </w:r>
    </w:p>
    <w:p w14:paraId="08B3265E" w14:textId="77777777" w:rsidR="00D170C3" w:rsidRPr="00D170C3" w:rsidRDefault="00D170C3" w:rsidP="00D170C3">
      <w:pPr>
        <w:rPr>
          <w:rFonts w:cs="Calibri"/>
          <w:b/>
          <w:bCs/>
          <w:sz w:val="22"/>
          <w:szCs w:val="22"/>
        </w:rPr>
      </w:pPr>
    </w:p>
    <w:p w14:paraId="5BD39B4B" w14:textId="603ADF43" w:rsidR="00D170C3" w:rsidRPr="00D170C3" w:rsidRDefault="00D170C3" w:rsidP="00D170C3">
      <w:pPr>
        <w:rPr>
          <w:rFonts w:eastAsia="Times New Roman" w:cs="Calibri"/>
          <w:color w:val="000000" w:themeColor="text1"/>
          <w:sz w:val="22"/>
          <w:szCs w:val="22"/>
        </w:rPr>
      </w:pPr>
      <w:r w:rsidRPr="00D170C3">
        <w:rPr>
          <w:rFonts w:cs="Calibri"/>
          <w:sz w:val="22"/>
          <w:szCs w:val="22"/>
        </w:rPr>
        <w:t xml:space="preserve">The Trustee had studied Newton's voting records </w:t>
      </w:r>
      <w:proofErr w:type="gramStart"/>
      <w:r w:rsidRPr="00D170C3">
        <w:rPr>
          <w:rFonts w:cs="Calibri"/>
          <w:sz w:val="22"/>
          <w:szCs w:val="22"/>
        </w:rPr>
        <w:t>with regard to</w:t>
      </w:r>
      <w:proofErr w:type="gramEnd"/>
      <w:r w:rsidRPr="00D170C3">
        <w:rPr>
          <w:rFonts w:cs="Calibri"/>
          <w:sz w:val="22"/>
          <w:szCs w:val="22"/>
        </w:rPr>
        <w:t xml:space="preserve"> </w:t>
      </w:r>
      <w:r w:rsidRPr="00D170C3">
        <w:rPr>
          <w:rFonts w:eastAsia="Times New Roman" w:cs="Calibri"/>
          <w:sz w:val="22"/>
          <w:szCs w:val="22"/>
        </w:rPr>
        <w:t xml:space="preserve">Alphabet, Amazon, Starbucks, Tesla, and Walmart. </w:t>
      </w:r>
    </w:p>
    <w:p w14:paraId="5FF98075" w14:textId="77777777" w:rsidR="00D170C3" w:rsidRPr="00D170C3" w:rsidRDefault="00D170C3" w:rsidP="00D170C3">
      <w:pPr>
        <w:rPr>
          <w:rFonts w:cs="Calibri"/>
          <w:b/>
          <w:bCs/>
          <w:sz w:val="22"/>
          <w:szCs w:val="22"/>
        </w:rPr>
      </w:pPr>
    </w:p>
    <w:p w14:paraId="01C1FE25" w14:textId="77777777" w:rsidR="00D170C3" w:rsidRPr="00D170C3" w:rsidRDefault="00D170C3" w:rsidP="00D170C3">
      <w:pPr>
        <w:rPr>
          <w:rFonts w:cs="Calibri"/>
          <w:b/>
          <w:bCs/>
          <w:sz w:val="22"/>
          <w:szCs w:val="22"/>
        </w:rPr>
      </w:pPr>
      <w:r w:rsidRPr="00D170C3">
        <w:rPr>
          <w:rFonts w:cs="Calibri"/>
          <w:b/>
          <w:bCs/>
          <w:sz w:val="22"/>
          <w:szCs w:val="22"/>
        </w:rPr>
        <w:t>Significant vote:</w:t>
      </w:r>
    </w:p>
    <w:p w14:paraId="7726017B" w14:textId="52CF0C96" w:rsidR="00D170C3" w:rsidRPr="00D170C3" w:rsidRDefault="00D170C3" w:rsidP="00D170C3">
      <w:pPr>
        <w:pStyle w:val="ListParagraph"/>
        <w:numPr>
          <w:ilvl w:val="0"/>
          <w:numId w:val="15"/>
        </w:numPr>
        <w:rPr>
          <w:rFonts w:cs="Calibri"/>
          <w:sz w:val="22"/>
          <w:szCs w:val="22"/>
        </w:rPr>
      </w:pPr>
      <w:r w:rsidRPr="00D170C3">
        <w:rPr>
          <w:rFonts w:cs="Calibri"/>
          <w:sz w:val="22"/>
          <w:szCs w:val="22"/>
        </w:rPr>
        <w:t xml:space="preserve">the Trustee asked Newton to explain why they appeared to have taken no voting </w:t>
      </w:r>
      <w:proofErr w:type="gramStart"/>
      <w:r w:rsidRPr="00D170C3">
        <w:rPr>
          <w:rFonts w:cs="Calibri"/>
          <w:sz w:val="22"/>
          <w:szCs w:val="22"/>
        </w:rPr>
        <w:t>action  at</w:t>
      </w:r>
      <w:proofErr w:type="gramEnd"/>
      <w:r w:rsidRPr="00D170C3">
        <w:rPr>
          <w:rFonts w:cs="Calibri"/>
          <w:sz w:val="22"/>
          <w:szCs w:val="22"/>
        </w:rPr>
        <w:t xml:space="preserve"> all in relation to any of these companies' anti-union activities.</w:t>
      </w:r>
    </w:p>
    <w:p w14:paraId="3A9D07FF" w14:textId="77777777" w:rsidR="00D170C3" w:rsidRPr="00D170C3" w:rsidRDefault="00D170C3" w:rsidP="00D170C3">
      <w:pPr>
        <w:rPr>
          <w:rFonts w:cs="Calibri"/>
          <w:b/>
          <w:bCs/>
          <w:color w:val="FF0000"/>
          <w:sz w:val="22"/>
          <w:szCs w:val="22"/>
        </w:rPr>
      </w:pPr>
    </w:p>
    <w:p w14:paraId="0CC1BCCD" w14:textId="20C6363A" w:rsidR="00D170C3" w:rsidRPr="00D170C3" w:rsidRDefault="00D170C3" w:rsidP="00D170C3">
      <w:pPr>
        <w:rPr>
          <w:rFonts w:cs="Calibri"/>
          <w:b/>
          <w:bCs/>
          <w:color w:val="000000" w:themeColor="text1"/>
          <w:sz w:val="22"/>
          <w:szCs w:val="22"/>
        </w:rPr>
      </w:pPr>
      <w:r w:rsidRPr="00D170C3">
        <w:rPr>
          <w:rFonts w:cs="Calibri"/>
          <w:color w:val="000000" w:themeColor="text1"/>
          <w:sz w:val="22"/>
          <w:szCs w:val="22"/>
          <w:lang w:val="en-US"/>
        </w:rPr>
        <w:t xml:space="preserve">Newton declined to respond to this question. Their 2025 voting season report did not mention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or trade unions at all, and the only mention of human rights was in the context of voting for a shareholder proposal at Alphabet requesting that the company publish a third-party human rights impact assessment examining the risks associated with AI-driven targeted advertising, including potential systemic discrimination and privacy concerns. The proposal received just 14.5% support, with 85.5% of votes cast against. Newton stated that among AI-related shareholder resolutions this one received the highest level of support. </w:t>
      </w:r>
    </w:p>
    <w:p w14:paraId="3B7CBA0E" w14:textId="77777777" w:rsidR="00D170C3" w:rsidRPr="00D170C3" w:rsidRDefault="00D170C3" w:rsidP="00D170C3">
      <w:pPr>
        <w:rPr>
          <w:rFonts w:cs="Calibri"/>
          <w:b/>
          <w:bCs/>
          <w:color w:val="000000" w:themeColor="text1"/>
          <w:sz w:val="22"/>
          <w:szCs w:val="22"/>
        </w:rPr>
      </w:pPr>
    </w:p>
    <w:p w14:paraId="35488C57" w14:textId="7F74B626"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3.5 Excessive executive pay and low workforce pay</w:t>
      </w:r>
    </w:p>
    <w:p w14:paraId="3B3CC31E" w14:textId="263E8EB1" w:rsidR="00D170C3" w:rsidRPr="00D170C3" w:rsidRDefault="00D170C3" w:rsidP="00D170C3">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One issue where the L&amp;G voting policy significantly differs from the Trustees' Red Line voting policy is that of excessive executive pay as expressed via pay ratios. While L&amp;G (and the Red Lines) are concerned with a range of remuneration issues, the Trustee believes that L&amp;G does not place sufficient weight on the damaging impact of executive pay that is simply far too high in relation to the company's workforce.  </w:t>
      </w:r>
    </w:p>
    <w:p w14:paraId="251623C0" w14:textId="77777777" w:rsidR="00D170C3" w:rsidRPr="00D170C3" w:rsidRDefault="00D170C3" w:rsidP="00D170C3">
      <w:pPr>
        <w:autoSpaceDE w:val="0"/>
        <w:autoSpaceDN w:val="0"/>
        <w:adjustRightInd w:val="0"/>
        <w:rPr>
          <w:rFonts w:cs="Calibri"/>
          <w:color w:val="000000" w:themeColor="text1"/>
          <w:sz w:val="22"/>
          <w:szCs w:val="22"/>
          <w:lang w:val="en-US"/>
        </w:rPr>
      </w:pPr>
    </w:p>
    <w:p w14:paraId="5D664C06" w14:textId="1C86CF8E"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On high pay, Trustee policy is to vote against the remuneration report or policy if the total remuneration package of any director is more than 100 times greater than the average pay of the company’s UK workforce, other than in exceptional circumstances which must be fully justified.</w:t>
      </w:r>
    </w:p>
    <w:p w14:paraId="387F62C3" w14:textId="77777777" w:rsidR="00D170C3" w:rsidRPr="00D170C3" w:rsidRDefault="00D170C3" w:rsidP="00D170C3">
      <w:pPr>
        <w:autoSpaceDE w:val="0"/>
        <w:autoSpaceDN w:val="0"/>
        <w:adjustRightInd w:val="0"/>
        <w:rPr>
          <w:rFonts w:cs="Calibri"/>
          <w:color w:val="EE0000"/>
          <w:sz w:val="22"/>
          <w:szCs w:val="22"/>
        </w:rPr>
      </w:pPr>
    </w:p>
    <w:p w14:paraId="09FCB1DA" w14:textId="2DFF0C69"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On low pay, in relation to principle one of the UN Global Compact, the Trustee's policy is to vote against the board’s remuneration proposals if any members of staff, including subcontracted staff employed in the UK, are paid below the Living Wage.</w:t>
      </w:r>
    </w:p>
    <w:p w14:paraId="3E3FB7F6" w14:textId="77777777" w:rsidR="00D170C3" w:rsidRPr="00D170C3" w:rsidRDefault="00D170C3" w:rsidP="00D170C3">
      <w:pPr>
        <w:autoSpaceDE w:val="0"/>
        <w:autoSpaceDN w:val="0"/>
        <w:adjustRightInd w:val="0"/>
        <w:rPr>
          <w:rFonts w:cs="Calibri"/>
          <w:i/>
          <w:iCs/>
          <w:color w:val="EE0000"/>
          <w:sz w:val="22"/>
          <w:szCs w:val="22"/>
          <w:highlight w:val="yellow"/>
        </w:rPr>
      </w:pPr>
    </w:p>
    <w:p w14:paraId="2D8121F3" w14:textId="77777777" w:rsidR="00D170C3" w:rsidRPr="00D170C3" w:rsidRDefault="00D170C3" w:rsidP="00D170C3">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According to the High Pay Centre, mean FTSE 100 CEO pay grew substantially in 2024/5 at </w:t>
      </w:r>
      <w:proofErr w:type="gramStart"/>
      <w:r w:rsidRPr="00D170C3">
        <w:rPr>
          <w:rFonts w:cs="Calibri"/>
          <w:color w:val="000000" w:themeColor="text1"/>
          <w:sz w:val="22"/>
          <w:szCs w:val="22"/>
        </w:rPr>
        <w:t>£5.91-million</w:t>
      </w:r>
      <w:proofErr w:type="gramEnd"/>
      <w:r w:rsidRPr="00D170C3">
        <w:rPr>
          <w:rFonts w:cs="Calibri"/>
          <w:color w:val="000000" w:themeColor="text1"/>
          <w:sz w:val="22"/>
          <w:szCs w:val="22"/>
        </w:rPr>
        <w:t xml:space="preserve">, a 15.4% increase from </w:t>
      </w:r>
      <w:proofErr w:type="gramStart"/>
      <w:r w:rsidRPr="00D170C3">
        <w:rPr>
          <w:rFonts w:cs="Calibri"/>
          <w:color w:val="000000" w:themeColor="text1"/>
          <w:sz w:val="22"/>
          <w:szCs w:val="22"/>
        </w:rPr>
        <w:t>£5.12-million</w:t>
      </w:r>
      <w:proofErr w:type="gramEnd"/>
      <w:r w:rsidRPr="00D170C3">
        <w:rPr>
          <w:rFonts w:cs="Calibri"/>
          <w:color w:val="000000" w:themeColor="text1"/>
          <w:sz w:val="22"/>
          <w:szCs w:val="22"/>
        </w:rPr>
        <w:t xml:space="preserve"> in 2023-24. This was the highest level published since introduction of the single figure requirements. This increase was about double that of the UK workforce. The median FTSE 100 CEO pay was 122.1 times greater than the median UK fulltime worker. </w:t>
      </w:r>
    </w:p>
    <w:p w14:paraId="4E0028FD" w14:textId="77777777" w:rsidR="00D170C3" w:rsidRPr="00D170C3" w:rsidRDefault="00D170C3" w:rsidP="00D170C3">
      <w:pPr>
        <w:autoSpaceDE w:val="0"/>
        <w:autoSpaceDN w:val="0"/>
        <w:adjustRightInd w:val="0"/>
        <w:rPr>
          <w:rFonts w:cs="Calibri"/>
          <w:color w:val="000000" w:themeColor="text1"/>
          <w:sz w:val="22"/>
          <w:szCs w:val="22"/>
          <w:highlight w:val="yellow"/>
        </w:rPr>
      </w:pPr>
    </w:p>
    <w:p w14:paraId="77315736" w14:textId="7AD52B96" w:rsidR="00D170C3" w:rsidRPr="00D170C3" w:rsidRDefault="00D170C3" w:rsidP="00D170C3">
      <w:pPr>
        <w:rPr>
          <w:rFonts w:cs="Calibri"/>
          <w:color w:val="000000" w:themeColor="text1"/>
          <w:sz w:val="22"/>
          <w:szCs w:val="22"/>
        </w:rPr>
      </w:pPr>
      <w:proofErr w:type="gramStart"/>
      <w:r w:rsidRPr="00D170C3">
        <w:rPr>
          <w:rFonts w:cs="Calibri"/>
          <w:color w:val="000000" w:themeColor="text1"/>
          <w:sz w:val="22"/>
          <w:szCs w:val="22"/>
          <w:lang w:val="en-US"/>
        </w:rPr>
        <w:t>Also</w:t>
      </w:r>
      <w:proofErr w:type="gramEnd"/>
      <w:r w:rsidRPr="00D170C3">
        <w:rPr>
          <w:rFonts w:cs="Calibri"/>
          <w:color w:val="000000" w:themeColor="text1"/>
          <w:sz w:val="22"/>
          <w:szCs w:val="22"/>
          <w:lang w:val="en-US"/>
        </w:rPr>
        <w:t xml:space="preserve"> according to the High Pay Centre, over the period 24 companies in the FTSE 100 paid their CEOs more than 100 times the median wage paid to their workforce. These included the following 14: </w:t>
      </w:r>
      <w:r w:rsidRPr="00D170C3">
        <w:rPr>
          <w:rFonts w:cs="Calibri"/>
          <w:color w:val="000000" w:themeColor="text1"/>
          <w:sz w:val="22"/>
          <w:szCs w:val="22"/>
        </w:rPr>
        <w:t xml:space="preserve">Admiral Group, </w:t>
      </w:r>
      <w:proofErr w:type="spellStart"/>
      <w:r w:rsidRPr="00D170C3">
        <w:rPr>
          <w:rFonts w:cs="Calibri"/>
          <w:color w:val="000000" w:themeColor="text1"/>
          <w:sz w:val="22"/>
          <w:szCs w:val="22"/>
        </w:rPr>
        <w:t>Astrazeneca</w:t>
      </w:r>
      <w:proofErr w:type="spellEnd"/>
      <w:r w:rsidRPr="00D170C3">
        <w:rPr>
          <w:rFonts w:cs="Calibri"/>
          <w:color w:val="000000" w:themeColor="text1"/>
          <w:sz w:val="22"/>
          <w:szCs w:val="22"/>
        </w:rPr>
        <w:t xml:space="preserve">, Aviva, BAE Systems, Barclays, Experian, GSK, HSBC, Intertek, Legal &amp; General, Lloyds Banking, Pearson, Reckitt and Smith &amp; Nephew. </w:t>
      </w:r>
    </w:p>
    <w:p w14:paraId="3AEBA2A3" w14:textId="77777777" w:rsidR="00D170C3" w:rsidRPr="00D170C3" w:rsidRDefault="00D170C3" w:rsidP="00D170C3">
      <w:pPr>
        <w:rPr>
          <w:rFonts w:cs="Calibri"/>
          <w:color w:val="000000" w:themeColor="text1"/>
          <w:sz w:val="22"/>
          <w:szCs w:val="22"/>
        </w:rPr>
      </w:pPr>
    </w:p>
    <w:p w14:paraId="7CCB0FF8" w14:textId="57A55D50" w:rsidR="00D170C3" w:rsidRPr="00D170C3" w:rsidRDefault="00D170C3" w:rsidP="00D170C3">
      <w:pPr>
        <w:rPr>
          <w:rFonts w:cs="Calibri"/>
          <w:color w:val="000000" w:themeColor="text1"/>
          <w:sz w:val="22"/>
          <w:szCs w:val="22"/>
        </w:rPr>
      </w:pPr>
      <w:r w:rsidRPr="00D170C3">
        <w:rPr>
          <w:rFonts w:cs="Calibri"/>
          <w:color w:val="000000" w:themeColor="text1"/>
          <w:sz w:val="22"/>
          <w:szCs w:val="22"/>
        </w:rPr>
        <w:lastRenderedPageBreak/>
        <w:t>L&amp;G supported the remuneration report for all but two of these companies – Pearson and Smith &amp; Nephew – and voted against the remuneration policy at Intertek and Reckitt.</w:t>
      </w:r>
    </w:p>
    <w:p w14:paraId="1530853F" w14:textId="77777777" w:rsidR="00D170C3" w:rsidRPr="00D170C3" w:rsidRDefault="00D170C3" w:rsidP="00D170C3">
      <w:pPr>
        <w:rPr>
          <w:rFonts w:cs="Calibri"/>
          <w:color w:val="000000" w:themeColor="text1"/>
          <w:sz w:val="22"/>
          <w:szCs w:val="22"/>
        </w:rPr>
      </w:pPr>
    </w:p>
    <w:p w14:paraId="017487CD" w14:textId="25F9162D" w:rsidR="00D170C3" w:rsidRPr="00D170C3" w:rsidRDefault="00D170C3" w:rsidP="00D170C3">
      <w:pPr>
        <w:rPr>
          <w:rFonts w:cs="Calibri"/>
          <w:sz w:val="22"/>
          <w:szCs w:val="22"/>
        </w:rPr>
      </w:pPr>
      <w:r w:rsidRPr="00D170C3">
        <w:rPr>
          <w:rFonts w:cs="Calibri"/>
          <w:color w:val="000000" w:themeColor="text1"/>
          <w:sz w:val="22"/>
          <w:szCs w:val="22"/>
        </w:rPr>
        <w:t xml:space="preserve">Of even greater concern, L&amp;G supported the remuneration reports of nine out of 10 companies that not only pay their CEOs more than 100 times the median pay of their workforce, but also do not have accreditation with the Living Wage Foundation as (real) Living Wage payers and the Trustee are not aware that they pay the real Living Wage. These were </w:t>
      </w:r>
      <w:r w:rsidRPr="00D170C3">
        <w:rPr>
          <w:rFonts w:cs="Calibri"/>
          <w:sz w:val="22"/>
          <w:szCs w:val="22"/>
        </w:rPr>
        <w:t xml:space="preserve">Associated British Foods, Bunzl, Halma, Intercontinental Hotels, Marks &amp; </w:t>
      </w:r>
      <w:proofErr w:type="spellStart"/>
      <w:r w:rsidRPr="00D170C3">
        <w:rPr>
          <w:rFonts w:cs="Calibri"/>
          <w:sz w:val="22"/>
          <w:szCs w:val="22"/>
        </w:rPr>
        <w:t>Spencers</w:t>
      </w:r>
      <w:proofErr w:type="spellEnd"/>
      <w:r w:rsidRPr="00D170C3">
        <w:rPr>
          <w:rFonts w:cs="Calibri"/>
          <w:sz w:val="22"/>
          <w:szCs w:val="22"/>
        </w:rPr>
        <w:t xml:space="preserve">, Next, Sainsbury's, Tesco and Whitbread.  </w:t>
      </w:r>
    </w:p>
    <w:p w14:paraId="6E8A62A4" w14:textId="77777777" w:rsidR="00D170C3" w:rsidRPr="00D170C3" w:rsidRDefault="00D170C3" w:rsidP="00D170C3">
      <w:pPr>
        <w:rPr>
          <w:rFonts w:cs="Calibri"/>
          <w:color w:val="000000" w:themeColor="text1"/>
          <w:sz w:val="22"/>
          <w:szCs w:val="22"/>
        </w:rPr>
      </w:pPr>
    </w:p>
    <w:p w14:paraId="4DF71CFF" w14:textId="5BC3F27B" w:rsidR="00D170C3" w:rsidRPr="00D170C3" w:rsidRDefault="00D170C3" w:rsidP="00D170C3">
      <w:pPr>
        <w:autoSpaceDE w:val="0"/>
        <w:autoSpaceDN w:val="0"/>
        <w:adjustRightInd w:val="0"/>
        <w:rPr>
          <w:rFonts w:cs="Calibri"/>
          <w:sz w:val="22"/>
          <w:szCs w:val="22"/>
        </w:rPr>
      </w:pPr>
      <w:r w:rsidRPr="00D170C3">
        <w:rPr>
          <w:rFonts w:cs="Calibri"/>
          <w:sz w:val="22"/>
          <w:szCs w:val="22"/>
        </w:rPr>
        <w:t xml:space="preserve">The company paying their CEO the most excessive pay was Melrose Industries which recorded the highest total CEO pay in 2024/25, of </w:t>
      </w:r>
      <w:proofErr w:type="gramStart"/>
      <w:r w:rsidRPr="00D170C3">
        <w:rPr>
          <w:rFonts w:cs="Calibri"/>
          <w:sz w:val="22"/>
          <w:szCs w:val="22"/>
        </w:rPr>
        <w:t>£58.93-million</w:t>
      </w:r>
      <w:proofErr w:type="gramEnd"/>
      <w:r w:rsidRPr="00D170C3">
        <w:rPr>
          <w:rFonts w:cs="Calibri"/>
          <w:sz w:val="22"/>
          <w:szCs w:val="22"/>
        </w:rPr>
        <w:t xml:space="preserve"> as disclosed in the company's annual report. This is 1,574 times the pay of the median UK fulltime worker, let alone those workers paid below the Real Living Wage. </w:t>
      </w:r>
    </w:p>
    <w:p w14:paraId="1C204BC3" w14:textId="77777777" w:rsidR="00D170C3" w:rsidRPr="00D170C3" w:rsidRDefault="00D170C3" w:rsidP="00D170C3">
      <w:pPr>
        <w:autoSpaceDE w:val="0"/>
        <w:autoSpaceDN w:val="0"/>
        <w:adjustRightInd w:val="0"/>
        <w:rPr>
          <w:rFonts w:cs="Calibri"/>
          <w:sz w:val="22"/>
          <w:szCs w:val="22"/>
        </w:rPr>
      </w:pPr>
    </w:p>
    <w:p w14:paraId="1E074B9D" w14:textId="7503EE6C" w:rsidR="00D170C3" w:rsidRPr="00D170C3" w:rsidRDefault="00D170C3" w:rsidP="00D170C3">
      <w:pPr>
        <w:autoSpaceDE w:val="0"/>
        <w:autoSpaceDN w:val="0"/>
        <w:adjustRightInd w:val="0"/>
        <w:rPr>
          <w:rFonts w:cs="Calibri"/>
          <w:sz w:val="22"/>
          <w:szCs w:val="22"/>
        </w:rPr>
      </w:pPr>
      <w:r w:rsidRPr="00D170C3">
        <w:rPr>
          <w:rFonts w:cs="Calibri"/>
          <w:sz w:val="22"/>
          <w:szCs w:val="22"/>
        </w:rPr>
        <w:t xml:space="preserve">In 2024/25 the total expenditure of FTSE 100 companies on their executives' pay package was </w:t>
      </w:r>
      <w:proofErr w:type="gramStart"/>
      <w:r w:rsidRPr="00D170C3">
        <w:rPr>
          <w:rFonts w:cs="Calibri"/>
          <w:sz w:val="22"/>
          <w:szCs w:val="22"/>
        </w:rPr>
        <w:t>£1-billion</w:t>
      </w:r>
      <w:proofErr w:type="gramEnd"/>
      <w:r w:rsidRPr="00D170C3">
        <w:rPr>
          <w:rFonts w:cs="Calibri"/>
          <w:sz w:val="22"/>
          <w:szCs w:val="22"/>
        </w:rPr>
        <w:t xml:space="preserve"> for 217 executive roles. This represents an increase from </w:t>
      </w:r>
      <w:proofErr w:type="gramStart"/>
      <w:r w:rsidRPr="00D170C3">
        <w:rPr>
          <w:rFonts w:cs="Calibri"/>
          <w:sz w:val="22"/>
          <w:szCs w:val="22"/>
        </w:rPr>
        <w:t>£757-million</w:t>
      </w:r>
      <w:proofErr w:type="gramEnd"/>
      <w:r w:rsidRPr="00D170C3">
        <w:rPr>
          <w:rFonts w:cs="Calibri"/>
          <w:sz w:val="22"/>
          <w:szCs w:val="22"/>
        </w:rPr>
        <w:t xml:space="preserve"> in 2023/</w:t>
      </w:r>
      <w:proofErr w:type="gramStart"/>
      <w:r w:rsidRPr="00D170C3">
        <w:rPr>
          <w:rFonts w:cs="Calibri"/>
          <w:sz w:val="22"/>
          <w:szCs w:val="22"/>
        </w:rPr>
        <w:t>24;  however</w:t>
      </w:r>
      <w:proofErr w:type="gramEnd"/>
      <w:r w:rsidRPr="00D170C3">
        <w:rPr>
          <w:rFonts w:cs="Calibri"/>
          <w:sz w:val="22"/>
          <w:szCs w:val="22"/>
        </w:rPr>
        <w:t xml:space="preserve">, much of this increase reflects the excessive executive pay at Melrose where the executives were paid </w:t>
      </w:r>
      <w:proofErr w:type="gramStart"/>
      <w:r w:rsidRPr="00D170C3">
        <w:rPr>
          <w:rFonts w:cs="Calibri"/>
          <w:sz w:val="22"/>
          <w:szCs w:val="22"/>
        </w:rPr>
        <w:t>£212-million</w:t>
      </w:r>
      <w:proofErr w:type="gramEnd"/>
      <w:r w:rsidRPr="00D170C3">
        <w:rPr>
          <w:rFonts w:cs="Calibri"/>
          <w:sz w:val="22"/>
          <w:szCs w:val="22"/>
        </w:rPr>
        <w:t>. And this is a company that according to the Living Wage Foundation is not accredited as a Living Wage employer. According to High Pay Centre Research that company's CEO: median employee pay ratio was 1,112. The Trustee noted that L&amp;G's vote against the directors</w:t>
      </w:r>
      <w:proofErr w:type="gramStart"/>
      <w:r w:rsidRPr="00D170C3">
        <w:rPr>
          <w:rFonts w:cs="Calibri"/>
          <w:sz w:val="22"/>
          <w:szCs w:val="22"/>
        </w:rPr>
        <w:t>'  remuneration</w:t>
      </w:r>
      <w:proofErr w:type="gramEnd"/>
      <w:r w:rsidRPr="00D170C3">
        <w:rPr>
          <w:rFonts w:cs="Calibri"/>
          <w:sz w:val="22"/>
          <w:szCs w:val="22"/>
        </w:rPr>
        <w:t xml:space="preserve"> report was for other reasons. </w:t>
      </w:r>
    </w:p>
    <w:p w14:paraId="5A06DADD" w14:textId="77777777" w:rsidR="00D170C3" w:rsidRPr="00D170C3" w:rsidRDefault="00D170C3" w:rsidP="00D170C3">
      <w:pPr>
        <w:autoSpaceDE w:val="0"/>
        <w:autoSpaceDN w:val="0"/>
        <w:adjustRightInd w:val="0"/>
        <w:rPr>
          <w:rFonts w:cs="Calibri"/>
          <w:sz w:val="22"/>
          <w:szCs w:val="22"/>
        </w:rPr>
      </w:pPr>
    </w:p>
    <w:p w14:paraId="54072FAB" w14:textId="1D23C9FB"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Significant votes</w:t>
      </w:r>
    </w:p>
    <w:p w14:paraId="5BD9564C" w14:textId="22A009E2"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The Trustee asked L&amp;G:</w:t>
      </w:r>
    </w:p>
    <w:p w14:paraId="32BC95BA" w14:textId="3C4850FA" w:rsidR="00D170C3" w:rsidRPr="00D170C3" w:rsidRDefault="00D170C3" w:rsidP="00D170C3">
      <w:pPr>
        <w:pStyle w:val="ListParagraph"/>
        <w:numPr>
          <w:ilvl w:val="0"/>
          <w:numId w:val="6"/>
        </w:numPr>
        <w:rPr>
          <w:rFonts w:cs="Calibri"/>
          <w:color w:val="000000" w:themeColor="text1"/>
          <w:sz w:val="22"/>
          <w:szCs w:val="22"/>
        </w:rPr>
      </w:pPr>
      <w:r w:rsidRPr="00D170C3">
        <w:rPr>
          <w:rFonts w:cs="Calibri"/>
          <w:color w:val="000000" w:themeColor="text1"/>
          <w:sz w:val="22"/>
          <w:szCs w:val="22"/>
        </w:rPr>
        <w:t xml:space="preserve">to explain why they supported these excessive pay awards, </w:t>
      </w:r>
      <w:proofErr w:type="gramStart"/>
      <w:r w:rsidRPr="00D170C3">
        <w:rPr>
          <w:rFonts w:cs="Calibri"/>
          <w:color w:val="000000" w:themeColor="text1"/>
          <w:sz w:val="22"/>
          <w:szCs w:val="22"/>
        </w:rPr>
        <w:t>in particular why</w:t>
      </w:r>
      <w:proofErr w:type="gramEnd"/>
      <w:r w:rsidRPr="00D170C3">
        <w:rPr>
          <w:rFonts w:cs="Calibri"/>
          <w:color w:val="000000" w:themeColor="text1"/>
          <w:sz w:val="22"/>
          <w:szCs w:val="22"/>
        </w:rPr>
        <w:t xml:space="preserve"> they supported the pay awards for CEOs that are more than 100 times the median pay of a workforce for which the same CEOs have not even guaranteed paying a real Living Wage;  </w:t>
      </w:r>
    </w:p>
    <w:p w14:paraId="07C8DBE9" w14:textId="77777777" w:rsidR="00D170C3" w:rsidRPr="00D170C3" w:rsidRDefault="00D170C3" w:rsidP="00D170C3">
      <w:pPr>
        <w:rPr>
          <w:rFonts w:cs="Calibri"/>
          <w:color w:val="000000" w:themeColor="text1"/>
          <w:sz w:val="22"/>
          <w:szCs w:val="22"/>
        </w:rPr>
      </w:pPr>
    </w:p>
    <w:p w14:paraId="3FA93D3B" w14:textId="61CB528E" w:rsidR="00D170C3" w:rsidRPr="00D170C3" w:rsidRDefault="00D170C3" w:rsidP="00D170C3">
      <w:pPr>
        <w:pStyle w:val="ListParagraph"/>
        <w:numPr>
          <w:ilvl w:val="0"/>
          <w:numId w:val="6"/>
        </w:numPr>
        <w:rPr>
          <w:rFonts w:cs="Calibri"/>
          <w:color w:val="000000" w:themeColor="text1"/>
          <w:sz w:val="22"/>
          <w:szCs w:val="22"/>
        </w:rPr>
      </w:pPr>
      <w:r w:rsidRPr="00D170C3">
        <w:rPr>
          <w:rFonts w:cs="Calibri"/>
          <w:color w:val="000000" w:themeColor="text1"/>
          <w:sz w:val="22"/>
          <w:szCs w:val="22"/>
        </w:rPr>
        <w:t>acknowledging L&amp;G's point in earlier correspondence that "</w:t>
      </w:r>
      <w:r w:rsidRPr="00D170C3">
        <w:rPr>
          <w:rFonts w:cs="Calibri"/>
          <w:sz w:val="22"/>
          <w:szCs w:val="22"/>
        </w:rPr>
        <w:t xml:space="preserve">until such time that companies publicly disclose minimum pay data and data providers capture it, it is hard for us to target companies on not paying a living wage on a broad scale",  what action L&amp;G is taking to push companies to provide this data, especially those with such excessive pay ratios. The Trustee urged L&amp;G to consider </w:t>
      </w:r>
      <w:proofErr w:type="spellStart"/>
      <w:r w:rsidRPr="00D170C3">
        <w:rPr>
          <w:rFonts w:cs="Calibri"/>
          <w:sz w:val="22"/>
          <w:szCs w:val="22"/>
        </w:rPr>
        <w:t>targetting</w:t>
      </w:r>
      <w:proofErr w:type="spellEnd"/>
      <w:r w:rsidRPr="00D170C3">
        <w:rPr>
          <w:rFonts w:cs="Calibri"/>
          <w:sz w:val="22"/>
          <w:szCs w:val="22"/>
        </w:rPr>
        <w:t xml:space="preserve"> the companies paying excessive CEO pay awards as listed above. </w:t>
      </w:r>
    </w:p>
    <w:p w14:paraId="295FB0CD" w14:textId="77777777" w:rsidR="00D170C3" w:rsidRPr="00D170C3" w:rsidRDefault="00D170C3" w:rsidP="00D170C3">
      <w:pPr>
        <w:rPr>
          <w:rFonts w:cs="Calibri"/>
          <w:color w:val="000000" w:themeColor="text1"/>
          <w:sz w:val="22"/>
          <w:szCs w:val="22"/>
          <w:highlight w:val="yellow"/>
        </w:rPr>
      </w:pPr>
    </w:p>
    <w:p w14:paraId="1C4E4B75" w14:textId="642B569E" w:rsidR="00D170C3" w:rsidRPr="00D170C3" w:rsidRDefault="00D170C3" w:rsidP="00D170C3">
      <w:pPr>
        <w:rPr>
          <w:rFonts w:cs="Calibri"/>
          <w:color w:val="000000" w:themeColor="text1"/>
          <w:sz w:val="22"/>
          <w:szCs w:val="22"/>
        </w:rPr>
      </w:pPr>
      <w:r w:rsidRPr="00D170C3">
        <w:rPr>
          <w:rFonts w:cs="Calibri"/>
          <w:color w:val="000000" w:themeColor="text1"/>
          <w:sz w:val="22"/>
          <w:szCs w:val="22"/>
        </w:rPr>
        <w:t>L&amp;G responded that as a long-term engaged investor they want to support companies’ boards to be able to recruit, retain and incentivise the appropriate talent to sustainably grow the business and encourage innovation without undue risk-taking. They had not set a strict policy threshold or maximum pay expectation in terms of absolute quantum. Instead, they apply a combination of principle-based and structural expectations to assess companies’ executive remuneration and their alignment to long-term sustainable performance and stakeholder experience.  </w:t>
      </w:r>
    </w:p>
    <w:p w14:paraId="02B17F08"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6E62F9DF"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L&amp;G expects boards to consider whether their company’s pay ratio is appropriate within the industry in which it operates. Consideration should also be given as to whether the ‘year-on-year’ changes in the ratio are appropriate </w:t>
      </w:r>
      <w:proofErr w:type="gramStart"/>
      <w:r w:rsidRPr="00D170C3">
        <w:rPr>
          <w:rFonts w:cs="Calibri"/>
          <w:color w:val="000000" w:themeColor="text1"/>
          <w:sz w:val="22"/>
          <w:szCs w:val="22"/>
        </w:rPr>
        <w:t>in light of</w:t>
      </w:r>
      <w:proofErr w:type="gramEnd"/>
      <w:r w:rsidRPr="00D170C3">
        <w:rPr>
          <w:rFonts w:cs="Calibri"/>
          <w:color w:val="000000" w:themeColor="text1"/>
          <w:sz w:val="22"/>
          <w:szCs w:val="22"/>
        </w:rPr>
        <w:t xml:space="preserve"> corporate performance. </w:t>
      </w:r>
    </w:p>
    <w:p w14:paraId="6618C10B"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07983CC3" w14:textId="04288026"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However, they stated that they do not apply policy-based voting sanctions based on pay ratios, as these often do not adequately take into consideration the differences in market norms due to industry and sector, organisational and ownership structures, products and services offered and, importantly, performance and alignment with the experience of shareholders and other stakeholders.  They also felt that voting on pay ratios above a certain level may also </w:t>
      </w:r>
      <w:r w:rsidRPr="00D170C3">
        <w:rPr>
          <w:rFonts w:cs="Calibri"/>
          <w:color w:val="000000" w:themeColor="text1"/>
          <w:sz w:val="22"/>
          <w:szCs w:val="22"/>
        </w:rPr>
        <w:lastRenderedPageBreak/>
        <w:t>disproportionately sanction companies that employ large numbers of lower-skilled workers. In addition to employment opportunities, these companies are often also offering an essential service or products to communities, therefore requiring investment and suitable management to be encouraged into these sectors. </w:t>
      </w:r>
    </w:p>
    <w:p w14:paraId="765FB158"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7BEA99B6" w14:textId="115434F4" w:rsidR="00D170C3" w:rsidRPr="00D170C3" w:rsidRDefault="00D170C3" w:rsidP="00D170C3">
      <w:pPr>
        <w:rPr>
          <w:rFonts w:cs="Calibri"/>
          <w:color w:val="000000" w:themeColor="text1"/>
          <w:sz w:val="22"/>
          <w:szCs w:val="22"/>
        </w:rPr>
      </w:pPr>
      <w:r w:rsidRPr="00D170C3">
        <w:rPr>
          <w:rFonts w:cs="Calibri"/>
          <w:color w:val="000000" w:themeColor="text1"/>
          <w:sz w:val="22"/>
          <w:szCs w:val="22"/>
        </w:rPr>
        <w:t>50% of the FTSE 100 are not living wage accredited.  That does not mean they are not paying the real living wage such as Sainsbury and Tesco.  </w:t>
      </w:r>
      <w:r w:rsidR="0073093D">
        <w:rPr>
          <w:rFonts w:cs="Calibri"/>
          <w:color w:val="000000" w:themeColor="text1"/>
          <w:sz w:val="22"/>
          <w:szCs w:val="22"/>
        </w:rPr>
        <w:t>L&amp;G</w:t>
      </w:r>
      <w:r w:rsidRPr="00D170C3">
        <w:rPr>
          <w:rFonts w:cs="Calibri"/>
          <w:color w:val="000000" w:themeColor="text1"/>
          <w:sz w:val="22"/>
          <w:szCs w:val="22"/>
        </w:rPr>
        <w:t xml:space="preserve"> again pointed out the difficulty of </w:t>
      </w:r>
      <w:proofErr w:type="spellStart"/>
      <w:r w:rsidRPr="00D170C3">
        <w:rPr>
          <w:rFonts w:cs="Calibri"/>
          <w:color w:val="000000" w:themeColor="text1"/>
          <w:sz w:val="22"/>
          <w:szCs w:val="22"/>
        </w:rPr>
        <w:t>targetting</w:t>
      </w:r>
      <w:proofErr w:type="spellEnd"/>
      <w:r w:rsidRPr="00D170C3">
        <w:rPr>
          <w:rFonts w:cs="Calibri"/>
          <w:color w:val="000000" w:themeColor="text1"/>
          <w:sz w:val="22"/>
          <w:szCs w:val="22"/>
        </w:rPr>
        <w:t xml:space="preserve"> companies in the absence of disclosure of minimum pay data and data providers capturing it. </w:t>
      </w:r>
    </w:p>
    <w:p w14:paraId="181A8C67"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0F68BB3A" w14:textId="1833ECB1" w:rsidR="00D170C3" w:rsidRPr="00D170C3" w:rsidRDefault="00D170C3" w:rsidP="00D170C3">
      <w:pPr>
        <w:rPr>
          <w:rFonts w:cs="Calibri"/>
          <w:color w:val="000000" w:themeColor="text1"/>
          <w:sz w:val="22"/>
          <w:szCs w:val="22"/>
        </w:rPr>
      </w:pPr>
      <w:r w:rsidRPr="00D170C3">
        <w:rPr>
          <w:rFonts w:cs="Calibri"/>
          <w:color w:val="000000" w:themeColor="text1"/>
          <w:sz w:val="22"/>
          <w:szCs w:val="22"/>
        </w:rPr>
        <w:t>L&amp;G set out how they seek to tackle income inequality through five different avenues:</w:t>
      </w:r>
    </w:p>
    <w:p w14:paraId="0DE3C0BA" w14:textId="77777777" w:rsidR="00D170C3" w:rsidRPr="00D170C3" w:rsidRDefault="00D170C3" w:rsidP="00D170C3">
      <w:pPr>
        <w:rPr>
          <w:rFonts w:cs="Calibri"/>
          <w:color w:val="000000" w:themeColor="text1"/>
          <w:sz w:val="22"/>
          <w:szCs w:val="22"/>
        </w:rPr>
      </w:pPr>
    </w:p>
    <w:p w14:paraId="72F3085B" w14:textId="30190BEE" w:rsidR="00D170C3" w:rsidRPr="00D170C3" w:rsidRDefault="00D170C3" w:rsidP="00D170C3">
      <w:pPr>
        <w:pStyle w:val="ListParagraph"/>
        <w:numPr>
          <w:ilvl w:val="0"/>
          <w:numId w:val="27"/>
        </w:numPr>
        <w:rPr>
          <w:rFonts w:cs="Calibri"/>
          <w:color w:val="000000" w:themeColor="text1"/>
          <w:sz w:val="22"/>
          <w:szCs w:val="22"/>
        </w:rPr>
      </w:pPr>
      <w:r w:rsidRPr="00D170C3">
        <w:rPr>
          <w:rFonts w:cs="Calibri"/>
          <w:color w:val="000000" w:themeColor="text1"/>
          <w:sz w:val="22"/>
          <w:szCs w:val="22"/>
        </w:rPr>
        <w:t>In 2023, L&amp;G expanded their corporate engagement on paying the living wage and income inequality. They launched a targeted engagement campaign on this topic with specific vote sanctions against the re-election of top directors at companies that fail to meet their minimum expectations by the time of their 2025 AGM. L&amp;G are targeting the food retail sector, as they believe these companies to be generally more resilient due to the community service they provide, financially less impacted by the COVID-19 pandemic than other sectors, and with a high proportion of their workforce earning low wages. They identified 15 global supermarket retailers in developed economies and begun engagement with these companies in late 2023. </w:t>
      </w:r>
    </w:p>
    <w:p w14:paraId="0A5F612B" w14:textId="77777777" w:rsidR="00D170C3" w:rsidRPr="00D170C3" w:rsidRDefault="00D170C3" w:rsidP="00D170C3">
      <w:pPr>
        <w:rPr>
          <w:rFonts w:cs="Calibri"/>
          <w:color w:val="000000" w:themeColor="text1"/>
          <w:sz w:val="22"/>
          <w:szCs w:val="22"/>
        </w:rPr>
      </w:pPr>
    </w:p>
    <w:p w14:paraId="1071CABA" w14:textId="7BFC8B63" w:rsidR="00D170C3" w:rsidRPr="00D170C3" w:rsidRDefault="00D170C3" w:rsidP="00D170C3">
      <w:pPr>
        <w:pStyle w:val="ListParagraph"/>
        <w:numPr>
          <w:ilvl w:val="0"/>
          <w:numId w:val="26"/>
        </w:numPr>
        <w:rPr>
          <w:rFonts w:cs="Calibri"/>
          <w:color w:val="000000" w:themeColor="text1"/>
          <w:sz w:val="22"/>
          <w:szCs w:val="22"/>
        </w:rPr>
      </w:pPr>
      <w:r w:rsidRPr="00D170C3">
        <w:rPr>
          <w:rFonts w:cs="Calibri"/>
          <w:color w:val="000000" w:themeColor="text1"/>
          <w:sz w:val="22"/>
          <w:szCs w:val="22"/>
        </w:rPr>
        <w:t xml:space="preserve">In addition to their direct corporate engagement campaign on the living wage which began in 2023 targeting 15 supermarket retailers, L&amp;G also participate in </w:t>
      </w:r>
      <w:proofErr w:type="gramStart"/>
      <w:r w:rsidRPr="00D170C3">
        <w:rPr>
          <w:rFonts w:cs="Calibri"/>
          <w:color w:val="000000" w:themeColor="text1"/>
          <w:sz w:val="22"/>
          <w:szCs w:val="22"/>
        </w:rPr>
        <w:t>a number of</w:t>
      </w:r>
      <w:proofErr w:type="gramEnd"/>
      <w:r w:rsidRPr="00D170C3">
        <w:rPr>
          <w:rFonts w:cs="Calibri"/>
          <w:color w:val="000000" w:themeColor="text1"/>
          <w:sz w:val="22"/>
          <w:szCs w:val="22"/>
        </w:rPr>
        <w:t xml:space="preserve"> collaborative initiatives on this topic coordinated by the </w:t>
      </w:r>
      <w:proofErr w:type="spellStart"/>
      <w:r w:rsidRPr="00D170C3">
        <w:rPr>
          <w:rFonts w:cs="Calibri"/>
          <w:color w:val="000000" w:themeColor="text1"/>
          <w:sz w:val="22"/>
          <w:szCs w:val="22"/>
        </w:rPr>
        <w:t>ShareAction</w:t>
      </w:r>
      <w:proofErr w:type="spellEnd"/>
      <w:r w:rsidRPr="00D170C3">
        <w:rPr>
          <w:rFonts w:cs="Calibri"/>
          <w:color w:val="000000" w:themeColor="text1"/>
          <w:sz w:val="22"/>
          <w:szCs w:val="22"/>
        </w:rPr>
        <w:t xml:space="preserve"> Good Work Coalition and the Platform for Living Wage Financials.</w:t>
      </w:r>
    </w:p>
    <w:p w14:paraId="15F90E83" w14:textId="77777777" w:rsidR="00D170C3" w:rsidRPr="00D170C3" w:rsidRDefault="00D170C3" w:rsidP="00D170C3">
      <w:pPr>
        <w:rPr>
          <w:rFonts w:cs="Calibri"/>
          <w:color w:val="000000" w:themeColor="text1"/>
          <w:sz w:val="22"/>
          <w:szCs w:val="22"/>
        </w:rPr>
      </w:pPr>
    </w:p>
    <w:p w14:paraId="6FDDD477" w14:textId="7CF0443D" w:rsidR="00D170C3" w:rsidRPr="00D170C3" w:rsidRDefault="00D170C3" w:rsidP="00D170C3">
      <w:pPr>
        <w:pStyle w:val="ListParagraph"/>
        <w:numPr>
          <w:ilvl w:val="0"/>
          <w:numId w:val="25"/>
        </w:numPr>
        <w:rPr>
          <w:rFonts w:cs="Calibri"/>
          <w:color w:val="000000" w:themeColor="text1"/>
          <w:sz w:val="22"/>
          <w:szCs w:val="22"/>
        </w:rPr>
      </w:pPr>
      <w:r w:rsidRPr="00D170C3">
        <w:rPr>
          <w:rFonts w:cs="Calibri"/>
          <w:color w:val="000000" w:themeColor="text1"/>
          <w:sz w:val="22"/>
          <w:szCs w:val="22"/>
        </w:rPr>
        <w:t xml:space="preserve">As the next phase of the 2023 living wage campaign, Asset Management issued vote sanctions to four companies who failed to meet L&amp;G expectations by the established deadlines: Target Corporation, Kroger Co., Walmart Inc and Carrefour SA. </w:t>
      </w:r>
    </w:p>
    <w:p w14:paraId="460B5787" w14:textId="77777777" w:rsidR="00D170C3" w:rsidRPr="00D170C3" w:rsidRDefault="00D170C3" w:rsidP="00D170C3">
      <w:pPr>
        <w:rPr>
          <w:rFonts w:cs="Calibri"/>
          <w:color w:val="000000" w:themeColor="text1"/>
          <w:sz w:val="22"/>
          <w:szCs w:val="22"/>
        </w:rPr>
      </w:pPr>
    </w:p>
    <w:p w14:paraId="29FD1FDC" w14:textId="546CEEBE" w:rsidR="00D170C3" w:rsidRPr="00D170C3" w:rsidRDefault="00D170C3" w:rsidP="00D170C3">
      <w:pPr>
        <w:pStyle w:val="ListParagraph"/>
        <w:numPr>
          <w:ilvl w:val="0"/>
          <w:numId w:val="24"/>
        </w:numPr>
        <w:rPr>
          <w:rFonts w:cs="Calibri"/>
          <w:color w:val="000000" w:themeColor="text1"/>
          <w:sz w:val="22"/>
          <w:szCs w:val="22"/>
        </w:rPr>
      </w:pPr>
      <w:r w:rsidRPr="00D170C3">
        <w:rPr>
          <w:rFonts w:cs="Calibri"/>
          <w:color w:val="000000" w:themeColor="text1"/>
          <w:sz w:val="22"/>
          <w:szCs w:val="22"/>
        </w:rPr>
        <w:t xml:space="preserve">As co-chair of the food retail group within the Platform for Living Wage Financials, L&amp;G attended the living wage annual conference which was attended by members, companies, NGOs and academics. They addressed the conference on the findings of the food retailers’ assessments carried out during 2024, looking at the companies' policies and practices on the living wage for their own employees and for workers within their supply chains. They also provided guidance to companies on where improvements were needed to raise their scores. </w:t>
      </w:r>
    </w:p>
    <w:p w14:paraId="3D3693E3" w14:textId="77777777" w:rsidR="00D170C3" w:rsidRPr="00D170C3" w:rsidRDefault="00D170C3" w:rsidP="00D170C3">
      <w:pPr>
        <w:rPr>
          <w:rFonts w:cs="Calibri"/>
          <w:color w:val="000000" w:themeColor="text1"/>
          <w:sz w:val="22"/>
          <w:szCs w:val="22"/>
        </w:rPr>
      </w:pPr>
    </w:p>
    <w:p w14:paraId="400E9A31" w14:textId="2DF94F67" w:rsidR="00D170C3" w:rsidRPr="00D170C3" w:rsidRDefault="00D170C3" w:rsidP="00D170C3">
      <w:pPr>
        <w:pStyle w:val="ListParagraph"/>
        <w:numPr>
          <w:ilvl w:val="0"/>
          <w:numId w:val="23"/>
        </w:numPr>
        <w:rPr>
          <w:rFonts w:cs="Calibri"/>
          <w:color w:val="000000" w:themeColor="text1"/>
          <w:sz w:val="22"/>
          <w:szCs w:val="22"/>
        </w:rPr>
      </w:pPr>
      <w:r w:rsidRPr="00D170C3">
        <w:rPr>
          <w:rFonts w:cs="Calibri"/>
          <w:color w:val="000000" w:themeColor="text1"/>
          <w:sz w:val="22"/>
          <w:szCs w:val="22"/>
        </w:rPr>
        <w:t>L&amp;G co-signed a ‘call to action’ letter to UN member states, requesting that they prioritise the issue of the living wage at the Second World Summit for Social Development, taking place in November 2025. Living wages were incorporated into the Social Summit's political declaration, adopted by UN Member States and featured prominently across the programme (including in the Secretary-General's remarks and two dedicated sessions focused on implementation)</w:t>
      </w:r>
    </w:p>
    <w:p w14:paraId="0B3E2C2F"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rPr>
        <w:t>  </w:t>
      </w:r>
    </w:p>
    <w:p w14:paraId="70A5C42C" w14:textId="19383A9E"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L&amp;G added that pay ratios are also expected to be higher where executives receive substantial variable pay opportunity in years of good performance. While this may be one reason for a higher differential, it can only reasonably be applied where a company can demonstrate strong outperformance. To address income inequality in the US, a market where executive pay is often outpacing UK levels substantially, L&amp;G have therefore introduced a voting policy that seeks to expose any performance-pay misalignment. As such, from 2024, L&amp;G will apply additional voting </w:t>
      </w:r>
      <w:r w:rsidRPr="00D170C3">
        <w:rPr>
          <w:rFonts w:cs="Calibri"/>
          <w:color w:val="000000" w:themeColor="text1"/>
          <w:sz w:val="22"/>
          <w:szCs w:val="22"/>
        </w:rPr>
        <w:lastRenderedPageBreak/>
        <w:t xml:space="preserve">sanctions on the ‘say on pay’ proposals at S&amp;P 500 companies whose total shareholder return (TSR) </w:t>
      </w:r>
      <w:proofErr w:type="gramStart"/>
      <w:r w:rsidRPr="00D170C3">
        <w:rPr>
          <w:rFonts w:cs="Calibri"/>
          <w:color w:val="000000" w:themeColor="text1"/>
          <w:sz w:val="22"/>
          <w:szCs w:val="22"/>
        </w:rPr>
        <w:t>has</w:t>
      </w:r>
      <w:proofErr w:type="gramEnd"/>
      <w:r w:rsidRPr="00D170C3">
        <w:rPr>
          <w:rFonts w:cs="Calibri"/>
          <w:color w:val="000000" w:themeColor="text1"/>
          <w:sz w:val="22"/>
          <w:szCs w:val="22"/>
        </w:rPr>
        <w:t xml:space="preserve"> underperformed the S&amp;P 500 over the previous three years and their CEO pay ratio exceeds 300.  </w:t>
      </w:r>
    </w:p>
    <w:p w14:paraId="355FC401" w14:textId="77777777" w:rsidR="00D170C3" w:rsidRPr="00D170C3" w:rsidRDefault="00D170C3" w:rsidP="00D170C3">
      <w:pPr>
        <w:rPr>
          <w:rFonts w:cs="Calibri"/>
          <w:sz w:val="22"/>
          <w:szCs w:val="22"/>
        </w:rPr>
      </w:pPr>
    </w:p>
    <w:p w14:paraId="35EF339B" w14:textId="36A2AF4D"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 xml:space="preserve">Newton: </w:t>
      </w:r>
    </w:p>
    <w:p w14:paraId="40F74A83" w14:textId="6104D910"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The Trustee noted that Newton supported the remuneration reports of eight of the nine Living Wage paying companies at whose AGMs it voted, the exception being Smith &amp; Nephew although this was due to their view that the vesting/performance period for equity awards was too short and not due to quantum. </w:t>
      </w:r>
    </w:p>
    <w:p w14:paraId="69F254CF" w14:textId="77777777" w:rsidR="00D170C3" w:rsidRPr="00D170C3" w:rsidRDefault="00D170C3" w:rsidP="00D170C3">
      <w:pPr>
        <w:autoSpaceDE w:val="0"/>
        <w:autoSpaceDN w:val="0"/>
        <w:adjustRightInd w:val="0"/>
        <w:rPr>
          <w:rFonts w:cs="Calibri"/>
          <w:color w:val="000000" w:themeColor="text1"/>
          <w:sz w:val="22"/>
          <w:szCs w:val="22"/>
        </w:rPr>
      </w:pPr>
    </w:p>
    <w:p w14:paraId="496C68B7" w14:textId="760E2F44" w:rsidR="00D170C3" w:rsidRPr="00D170C3" w:rsidRDefault="00D170C3" w:rsidP="00D170C3">
      <w:pPr>
        <w:rPr>
          <w:rFonts w:cs="Calibri"/>
          <w:sz w:val="22"/>
          <w:szCs w:val="22"/>
        </w:rPr>
      </w:pPr>
      <w:r w:rsidRPr="00D170C3">
        <w:rPr>
          <w:rFonts w:cs="Calibri"/>
          <w:color w:val="000000" w:themeColor="text1"/>
          <w:sz w:val="22"/>
          <w:szCs w:val="22"/>
        </w:rPr>
        <w:t xml:space="preserve">Of even greater concern, Newton supported the remuneration reports of four of the five companies at whose AGMs they voted that not only pay their CEOs more than 100 times the median pay of their workforce, but also do not have accreditation with the Living Wage Foundation as (real) Living Wage payers and we are not aware that they pay the real Living Wage. These were </w:t>
      </w:r>
      <w:r w:rsidRPr="00D170C3">
        <w:rPr>
          <w:rFonts w:cs="Calibri"/>
          <w:sz w:val="22"/>
          <w:szCs w:val="22"/>
        </w:rPr>
        <w:t xml:space="preserve">Marks &amp; </w:t>
      </w:r>
      <w:proofErr w:type="spellStart"/>
      <w:r w:rsidRPr="00D170C3">
        <w:rPr>
          <w:rFonts w:cs="Calibri"/>
          <w:sz w:val="22"/>
          <w:szCs w:val="22"/>
        </w:rPr>
        <w:t>Spencers</w:t>
      </w:r>
      <w:proofErr w:type="spellEnd"/>
      <w:r w:rsidRPr="00D170C3">
        <w:rPr>
          <w:rFonts w:cs="Calibri"/>
          <w:sz w:val="22"/>
          <w:szCs w:val="22"/>
        </w:rPr>
        <w:t>, Next, Tesco and Whitbread.  It was only at Melrose that Newton voted against the remuneration report.</w:t>
      </w:r>
    </w:p>
    <w:p w14:paraId="5EFA0B3F" w14:textId="77777777" w:rsidR="00D170C3" w:rsidRPr="00D170C3" w:rsidRDefault="00D170C3" w:rsidP="00D170C3">
      <w:pPr>
        <w:rPr>
          <w:rFonts w:cs="Calibri"/>
          <w:strike/>
          <w:sz w:val="22"/>
          <w:szCs w:val="22"/>
          <w:highlight w:val="cyan"/>
        </w:rPr>
      </w:pPr>
    </w:p>
    <w:p w14:paraId="398E56C4" w14:textId="7C7AD5AF"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Significant votes</w:t>
      </w:r>
    </w:p>
    <w:p w14:paraId="7523BB75" w14:textId="66EF1162" w:rsidR="00D170C3" w:rsidRPr="00D170C3" w:rsidRDefault="00D170C3" w:rsidP="00D170C3">
      <w:pPr>
        <w:rPr>
          <w:rFonts w:cs="Calibri"/>
          <w:color w:val="000000" w:themeColor="text1"/>
          <w:sz w:val="22"/>
          <w:szCs w:val="22"/>
        </w:rPr>
      </w:pPr>
      <w:r w:rsidRPr="00D170C3">
        <w:rPr>
          <w:rFonts w:cs="Calibri"/>
          <w:color w:val="000000" w:themeColor="text1"/>
          <w:sz w:val="22"/>
          <w:szCs w:val="22"/>
        </w:rPr>
        <w:t>The Trustee asked Newton:</w:t>
      </w:r>
    </w:p>
    <w:p w14:paraId="24A35FBE" w14:textId="1148FACD" w:rsidR="00D170C3" w:rsidRPr="00D170C3" w:rsidRDefault="00D170C3" w:rsidP="00D170C3">
      <w:pPr>
        <w:pStyle w:val="ListParagraph"/>
        <w:numPr>
          <w:ilvl w:val="0"/>
          <w:numId w:val="16"/>
        </w:num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To explain why they supported these excessive pay awards, </w:t>
      </w:r>
      <w:proofErr w:type="gramStart"/>
      <w:r w:rsidRPr="00D170C3">
        <w:rPr>
          <w:rFonts w:cs="Calibri"/>
          <w:color w:val="000000" w:themeColor="text1"/>
          <w:sz w:val="22"/>
          <w:szCs w:val="22"/>
        </w:rPr>
        <w:t>in particular why</w:t>
      </w:r>
      <w:proofErr w:type="gramEnd"/>
      <w:r w:rsidRPr="00D170C3">
        <w:rPr>
          <w:rFonts w:cs="Calibri"/>
          <w:color w:val="000000" w:themeColor="text1"/>
          <w:sz w:val="22"/>
          <w:szCs w:val="22"/>
        </w:rPr>
        <w:t xml:space="preserve"> they supported the pay awards for CEOs that are more than 100 times the median pay of a workforce while not guaranteeing paying the real Living Wage;  </w:t>
      </w:r>
    </w:p>
    <w:p w14:paraId="2A9CBAE4" w14:textId="77777777" w:rsidR="00D170C3" w:rsidRPr="00D170C3" w:rsidRDefault="00D170C3" w:rsidP="00D170C3">
      <w:pPr>
        <w:autoSpaceDE w:val="0"/>
        <w:autoSpaceDN w:val="0"/>
        <w:adjustRightInd w:val="0"/>
        <w:ind w:left="360"/>
        <w:rPr>
          <w:rFonts w:cs="Calibri"/>
          <w:color w:val="000000" w:themeColor="text1"/>
          <w:sz w:val="22"/>
          <w:szCs w:val="22"/>
        </w:rPr>
      </w:pPr>
    </w:p>
    <w:p w14:paraId="59BA7F83" w14:textId="337C4E20" w:rsidR="00D170C3" w:rsidRPr="00D170C3" w:rsidRDefault="00D170C3" w:rsidP="00D170C3">
      <w:pPr>
        <w:pStyle w:val="ListParagraph"/>
        <w:numPr>
          <w:ilvl w:val="0"/>
          <w:numId w:val="16"/>
        </w:num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What action is Newton taking to push companies to provide data on low pay, especially those that have such excessive pay ratios? The Trustee urged Newton to consider particularly </w:t>
      </w:r>
      <w:proofErr w:type="spellStart"/>
      <w:r w:rsidRPr="00D170C3">
        <w:rPr>
          <w:rFonts w:cs="Calibri"/>
          <w:color w:val="000000" w:themeColor="text1"/>
          <w:sz w:val="22"/>
          <w:szCs w:val="22"/>
        </w:rPr>
        <w:t>targetting</w:t>
      </w:r>
      <w:proofErr w:type="spellEnd"/>
      <w:r w:rsidRPr="00D170C3">
        <w:rPr>
          <w:rFonts w:cs="Calibri"/>
          <w:color w:val="000000" w:themeColor="text1"/>
          <w:sz w:val="22"/>
          <w:szCs w:val="22"/>
        </w:rPr>
        <w:t xml:space="preserve"> the companies paying excessive CEO pay awards without registering as paying the (real) Living Wage and London Living Wage or confirming that they do pay at these minimum levels despite not being registered.</w:t>
      </w:r>
    </w:p>
    <w:p w14:paraId="62BAB7C1" w14:textId="77777777" w:rsidR="00D170C3" w:rsidRPr="00D170C3" w:rsidRDefault="00D170C3" w:rsidP="00D170C3">
      <w:pPr>
        <w:autoSpaceDE w:val="0"/>
        <w:autoSpaceDN w:val="0"/>
        <w:adjustRightInd w:val="0"/>
        <w:ind w:left="360"/>
        <w:rPr>
          <w:rFonts w:cs="Calibri"/>
          <w:color w:val="000000" w:themeColor="text1"/>
          <w:sz w:val="22"/>
          <w:szCs w:val="22"/>
        </w:rPr>
      </w:pPr>
    </w:p>
    <w:p w14:paraId="302847EC" w14:textId="6C5BA04E" w:rsidR="00D170C3" w:rsidRPr="00D170C3" w:rsidRDefault="00D170C3" w:rsidP="00D170C3">
      <w:pPr>
        <w:pStyle w:val="ListParagraph"/>
        <w:numPr>
          <w:ilvl w:val="0"/>
          <w:numId w:val="16"/>
        </w:num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To explain why they voted against the </w:t>
      </w:r>
      <w:proofErr w:type="spellStart"/>
      <w:r w:rsidRPr="00D170C3">
        <w:rPr>
          <w:rFonts w:cs="Calibri"/>
          <w:color w:val="000000" w:themeColor="text1"/>
          <w:sz w:val="22"/>
          <w:szCs w:val="22"/>
        </w:rPr>
        <w:t>Shareaction</w:t>
      </w:r>
      <w:proofErr w:type="spellEnd"/>
      <w:r w:rsidRPr="00D170C3">
        <w:rPr>
          <w:rFonts w:cs="Calibri"/>
          <w:color w:val="000000" w:themeColor="text1"/>
          <w:sz w:val="22"/>
          <w:szCs w:val="22"/>
        </w:rPr>
        <w:t xml:space="preserve"> shareholder resolutions at Marks &amp; Spencer</w:t>
      </w:r>
      <w:r w:rsidRPr="00D170C3">
        <w:rPr>
          <w:rStyle w:val="FootnoteReference"/>
          <w:rFonts w:cs="Calibri"/>
          <w:color w:val="000000" w:themeColor="text1"/>
          <w:sz w:val="22"/>
          <w:szCs w:val="22"/>
        </w:rPr>
        <w:footnoteReference w:id="3"/>
      </w:r>
      <w:r w:rsidRPr="00D170C3">
        <w:rPr>
          <w:rFonts w:cs="Calibri"/>
          <w:color w:val="000000" w:themeColor="text1"/>
          <w:sz w:val="22"/>
          <w:szCs w:val="22"/>
        </w:rPr>
        <w:t xml:space="preserve"> and Next</w:t>
      </w:r>
      <w:r w:rsidRPr="00D170C3">
        <w:rPr>
          <w:rStyle w:val="FootnoteReference"/>
          <w:rFonts w:cs="Calibri"/>
          <w:color w:val="000000" w:themeColor="text1"/>
          <w:sz w:val="22"/>
          <w:szCs w:val="22"/>
        </w:rPr>
        <w:footnoteReference w:id="4"/>
      </w:r>
      <w:r w:rsidRPr="00D170C3">
        <w:rPr>
          <w:rFonts w:cs="Calibri"/>
          <w:color w:val="000000" w:themeColor="text1"/>
          <w:sz w:val="22"/>
          <w:szCs w:val="22"/>
        </w:rPr>
        <w:t>.</w:t>
      </w:r>
    </w:p>
    <w:p w14:paraId="206F605A" w14:textId="77777777" w:rsidR="00D170C3" w:rsidRPr="00D170C3" w:rsidRDefault="00D170C3" w:rsidP="00D170C3">
      <w:pPr>
        <w:rPr>
          <w:rFonts w:cs="Calibri"/>
          <w:color w:val="000000" w:themeColor="text1"/>
          <w:sz w:val="22"/>
          <w:szCs w:val="22"/>
        </w:rPr>
      </w:pPr>
    </w:p>
    <w:p w14:paraId="332DD3A1" w14:textId="7CB65A6C" w:rsidR="00D170C3" w:rsidRPr="00D170C3" w:rsidRDefault="00D170C3" w:rsidP="00D170C3">
      <w:pPr>
        <w:rPr>
          <w:rFonts w:cs="Calibri"/>
          <w:color w:val="000000" w:themeColor="text1"/>
          <w:sz w:val="22"/>
          <w:szCs w:val="22"/>
        </w:rPr>
      </w:pPr>
      <w:r w:rsidRPr="00D170C3">
        <w:rPr>
          <w:rFonts w:cs="Calibri"/>
          <w:color w:val="000000" w:themeColor="text1"/>
          <w:sz w:val="22"/>
          <w:szCs w:val="22"/>
        </w:rPr>
        <w:t xml:space="preserve">Newton declined to respond to these questions. </w:t>
      </w:r>
    </w:p>
    <w:p w14:paraId="0865B748" w14:textId="77777777" w:rsidR="00D170C3" w:rsidRPr="00D170C3" w:rsidRDefault="00D170C3" w:rsidP="00D170C3">
      <w:pPr>
        <w:autoSpaceDE w:val="0"/>
        <w:autoSpaceDN w:val="0"/>
        <w:adjustRightInd w:val="0"/>
        <w:rPr>
          <w:rFonts w:cs="Calibri"/>
          <w:color w:val="000000" w:themeColor="text1"/>
          <w:sz w:val="22"/>
          <w:szCs w:val="22"/>
        </w:rPr>
      </w:pPr>
    </w:p>
    <w:p w14:paraId="79BB0997" w14:textId="3C6D6D65" w:rsidR="00D170C3" w:rsidRPr="00D170C3" w:rsidRDefault="00D170C3" w:rsidP="00D170C3">
      <w:pPr>
        <w:autoSpaceDE w:val="0"/>
        <w:autoSpaceDN w:val="0"/>
        <w:adjustRightInd w:val="0"/>
        <w:rPr>
          <w:rFonts w:cs="Calibri"/>
          <w:sz w:val="22"/>
          <w:szCs w:val="22"/>
        </w:rPr>
      </w:pPr>
      <w:r w:rsidRPr="00D170C3">
        <w:rPr>
          <w:rFonts w:cs="Calibri"/>
          <w:color w:val="000000" w:themeColor="text1"/>
          <w:sz w:val="22"/>
          <w:szCs w:val="22"/>
        </w:rPr>
        <w:t xml:space="preserve">Their 2025 voting season report gave five examples, four of which were where they voted against the remuneration reports at four companies: Unilever, </w:t>
      </w:r>
      <w:proofErr w:type="spellStart"/>
      <w:r w:rsidRPr="00D170C3">
        <w:rPr>
          <w:rFonts w:cs="Calibri"/>
          <w:color w:val="000000" w:themeColor="text1"/>
          <w:sz w:val="22"/>
          <w:szCs w:val="22"/>
        </w:rPr>
        <w:t>Stallantis</w:t>
      </w:r>
      <w:proofErr w:type="spellEnd"/>
      <w:r w:rsidRPr="00D170C3">
        <w:rPr>
          <w:rFonts w:cs="Calibri"/>
          <w:color w:val="000000" w:themeColor="text1"/>
          <w:sz w:val="22"/>
          <w:szCs w:val="22"/>
        </w:rPr>
        <w:t>,</w:t>
      </w:r>
      <w:r w:rsidRPr="00D170C3">
        <w:rPr>
          <w:rFonts w:cs="Calibri"/>
          <w:sz w:val="22"/>
          <w:szCs w:val="22"/>
        </w:rPr>
        <w:t xml:space="preserve"> </w:t>
      </w:r>
      <w:r w:rsidRPr="00D170C3">
        <w:rPr>
          <w:rFonts w:cs="Calibri"/>
          <w:color w:val="000000" w:themeColor="text1"/>
          <w:sz w:val="22"/>
          <w:szCs w:val="22"/>
        </w:rPr>
        <w:t xml:space="preserve">Anglo American; and UnitedHealth. There were varying reasons for their welcome opposition though none were in relation to pay ratios. The fifth example was explaining Newton's support for the say-on-pay proposal at Goldman Sachs, where </w:t>
      </w:r>
      <w:r w:rsidRPr="00D170C3">
        <w:rPr>
          <w:rFonts w:cs="Calibri"/>
          <w:sz w:val="22"/>
          <w:szCs w:val="22"/>
        </w:rPr>
        <w:t xml:space="preserve">early in the 2025 fiscal year, the bank awarded off-cycle retention restricted stock units (RSUs) worth </w:t>
      </w:r>
      <w:proofErr w:type="gramStart"/>
      <w:r w:rsidRPr="00D170C3">
        <w:rPr>
          <w:rFonts w:cs="Calibri"/>
          <w:sz w:val="22"/>
          <w:szCs w:val="22"/>
        </w:rPr>
        <w:t>£80-million</w:t>
      </w:r>
      <w:proofErr w:type="gramEnd"/>
      <w:r w:rsidRPr="00D170C3">
        <w:rPr>
          <w:rFonts w:cs="Calibri"/>
          <w:sz w:val="22"/>
          <w:szCs w:val="22"/>
        </w:rPr>
        <w:t xml:space="preserve"> each to the CEO and chief operating officer without performance criteria. These awards were in addition to one-off grants provided in the 2021 fiscal year.</w:t>
      </w:r>
      <w:r w:rsidRPr="00D170C3">
        <w:rPr>
          <w:rFonts w:cs="Calibri"/>
          <w:color w:val="000000" w:themeColor="text1"/>
          <w:sz w:val="22"/>
          <w:szCs w:val="22"/>
        </w:rPr>
        <w:t xml:space="preserve"> Given the magnitude of the award Newton engaged with the bank's investor relations team and lead director </w:t>
      </w:r>
      <w:proofErr w:type="gramStart"/>
      <w:r w:rsidRPr="00D170C3">
        <w:rPr>
          <w:rFonts w:cs="Calibri"/>
          <w:color w:val="000000" w:themeColor="text1"/>
          <w:sz w:val="22"/>
          <w:szCs w:val="22"/>
        </w:rPr>
        <w:t>separately, and</w:t>
      </w:r>
      <w:proofErr w:type="gramEnd"/>
      <w:r w:rsidRPr="00D170C3">
        <w:rPr>
          <w:rFonts w:cs="Calibri"/>
          <w:color w:val="000000" w:themeColor="text1"/>
          <w:sz w:val="22"/>
          <w:szCs w:val="22"/>
        </w:rPr>
        <w:t xml:space="preserve"> were satisfied with the explanations they received. </w:t>
      </w:r>
    </w:p>
    <w:p w14:paraId="256F26BF" w14:textId="77777777" w:rsidR="00D170C3" w:rsidRPr="00D170C3" w:rsidRDefault="00D170C3" w:rsidP="00D170C3">
      <w:pPr>
        <w:rPr>
          <w:rFonts w:cs="Calibri"/>
          <w:b/>
          <w:bCs/>
          <w:color w:val="000000" w:themeColor="text1"/>
          <w:sz w:val="22"/>
          <w:szCs w:val="22"/>
        </w:rPr>
      </w:pPr>
    </w:p>
    <w:p w14:paraId="349B8199" w14:textId="65CC0D4E" w:rsidR="00D170C3" w:rsidRPr="00D170C3" w:rsidRDefault="00D170C3" w:rsidP="00D170C3">
      <w:pPr>
        <w:rPr>
          <w:rFonts w:cs="Calibri"/>
          <w:b/>
          <w:bCs/>
          <w:color w:val="000000" w:themeColor="text1"/>
          <w:sz w:val="22"/>
          <w:szCs w:val="22"/>
        </w:rPr>
      </w:pPr>
      <w:r w:rsidRPr="00D170C3">
        <w:rPr>
          <w:rFonts w:cs="Calibri"/>
          <w:b/>
          <w:bCs/>
          <w:color w:val="000000" w:themeColor="text1"/>
          <w:sz w:val="22"/>
          <w:szCs w:val="22"/>
        </w:rPr>
        <w:t>3.6. Directors' pension provision</w:t>
      </w:r>
    </w:p>
    <w:p w14:paraId="4CC79E94" w14:textId="77777777" w:rsidR="00D170C3" w:rsidRPr="00D170C3" w:rsidRDefault="00D170C3" w:rsidP="00D170C3">
      <w:pPr>
        <w:autoSpaceDE w:val="0"/>
        <w:autoSpaceDN w:val="0"/>
        <w:adjustRightInd w:val="0"/>
        <w:rPr>
          <w:rFonts w:cs="Calibri"/>
          <w:color w:val="000000" w:themeColor="text1"/>
          <w:sz w:val="22"/>
          <w:szCs w:val="22"/>
          <w:lang w:val="en-US"/>
        </w:rPr>
      </w:pPr>
    </w:p>
    <w:p w14:paraId="211B5EFF" w14:textId="67296DE1" w:rsidR="00D170C3" w:rsidRPr="00D170C3" w:rsidRDefault="00D170C3" w:rsidP="00D170C3">
      <w:pPr>
        <w:autoSpaceDE w:val="0"/>
        <w:autoSpaceDN w:val="0"/>
        <w:adjustRightInd w:val="0"/>
        <w:rPr>
          <w:rFonts w:eastAsia="Times New Roman" w:cs="Calibri"/>
          <w:color w:val="000000" w:themeColor="text1"/>
          <w:sz w:val="22"/>
          <w:szCs w:val="22"/>
          <w:lang w:eastAsia="en-GB"/>
        </w:rPr>
      </w:pPr>
      <w:r w:rsidRPr="00D170C3">
        <w:rPr>
          <w:rFonts w:cs="Calibri"/>
          <w:color w:val="000000" w:themeColor="text1"/>
          <w:sz w:val="22"/>
          <w:szCs w:val="22"/>
          <w:lang w:val="en-US"/>
        </w:rPr>
        <w:t>The Trustee's policy is to</w:t>
      </w:r>
      <w:r w:rsidRPr="00D170C3">
        <w:rPr>
          <w:rFonts w:eastAsia="Times New Roman" w:cs="Calibri"/>
          <w:color w:val="000000" w:themeColor="text1"/>
          <w:sz w:val="22"/>
          <w:szCs w:val="22"/>
          <w:lang w:eastAsia="en-GB"/>
        </w:rPr>
        <w:t xml:space="preserve"> vote against the remuneration report or policy if the pension contributions for any director are not limited to the director’s basic salary and are out of alignment with that of the company’s workforce. </w:t>
      </w:r>
    </w:p>
    <w:p w14:paraId="32181E33" w14:textId="77777777" w:rsidR="00D170C3" w:rsidRPr="00D170C3" w:rsidRDefault="00D170C3" w:rsidP="00D170C3">
      <w:pPr>
        <w:autoSpaceDE w:val="0"/>
        <w:autoSpaceDN w:val="0"/>
        <w:adjustRightInd w:val="0"/>
        <w:rPr>
          <w:rFonts w:eastAsia="Times New Roman" w:cs="Calibri"/>
          <w:color w:val="000000" w:themeColor="text1"/>
          <w:sz w:val="22"/>
          <w:szCs w:val="22"/>
          <w:lang w:eastAsia="en-GB"/>
        </w:rPr>
      </w:pPr>
    </w:p>
    <w:p w14:paraId="4CFA1D90" w14:textId="2786827F" w:rsidR="00D170C3" w:rsidRPr="00D170C3" w:rsidRDefault="00D170C3" w:rsidP="00D170C3">
      <w:pPr>
        <w:autoSpaceDE w:val="0"/>
        <w:autoSpaceDN w:val="0"/>
        <w:adjustRightInd w:val="0"/>
        <w:rPr>
          <w:rFonts w:eastAsia="Times New Roman" w:cs="Calibri"/>
          <w:b/>
          <w:bCs/>
          <w:color w:val="000000" w:themeColor="text1"/>
          <w:sz w:val="22"/>
          <w:szCs w:val="22"/>
          <w:lang w:eastAsia="en-GB"/>
        </w:rPr>
      </w:pPr>
      <w:r w:rsidRPr="00D170C3">
        <w:rPr>
          <w:rFonts w:eastAsia="Times New Roman" w:cs="Calibri"/>
          <w:b/>
          <w:bCs/>
          <w:color w:val="000000" w:themeColor="text1"/>
          <w:sz w:val="22"/>
          <w:szCs w:val="22"/>
          <w:lang w:eastAsia="en-GB"/>
        </w:rPr>
        <w:t>L&amp;G</w:t>
      </w:r>
    </w:p>
    <w:p w14:paraId="624B61E4" w14:textId="74C1051E" w:rsidR="00D170C3" w:rsidRPr="00D170C3" w:rsidRDefault="00D170C3" w:rsidP="00D170C3">
      <w:pPr>
        <w:pStyle w:val="Default"/>
        <w:rPr>
          <w:color w:val="323232"/>
          <w:sz w:val="22"/>
          <w:szCs w:val="22"/>
        </w:rPr>
      </w:pPr>
      <w:r w:rsidRPr="00D170C3">
        <w:rPr>
          <w:rFonts w:eastAsia="Times New Roman"/>
          <w:color w:val="000000" w:themeColor="text1"/>
          <w:sz w:val="22"/>
          <w:szCs w:val="22"/>
          <w:lang w:eastAsia="en-GB"/>
        </w:rPr>
        <w:t xml:space="preserve">L&amp;G state in their remuneration principles </w:t>
      </w:r>
      <w:r w:rsidRPr="00D170C3">
        <w:rPr>
          <w:color w:val="323232"/>
          <w:sz w:val="22"/>
          <w:szCs w:val="22"/>
        </w:rPr>
        <w:t xml:space="preserve">that:  "L&amp;G expects pension provisions to be aligned with what is offered to a majority of the workforce. We will vote against the remuneration policy where there have been no changes proposed to address a disparity in pension provisions." </w:t>
      </w:r>
    </w:p>
    <w:p w14:paraId="00F76018" w14:textId="77777777" w:rsidR="00D170C3" w:rsidRPr="00D170C3" w:rsidRDefault="00D170C3" w:rsidP="00D170C3">
      <w:pPr>
        <w:rPr>
          <w:rFonts w:eastAsia="Times New Roman" w:cs="Calibri"/>
          <w:b/>
          <w:bCs/>
          <w:color w:val="000000"/>
          <w:sz w:val="22"/>
          <w:szCs w:val="22"/>
          <w:lang w:val="en-US" w:eastAsia="en-GB"/>
        </w:rPr>
      </w:pPr>
    </w:p>
    <w:p w14:paraId="2D2E1A4A" w14:textId="77777777" w:rsidR="00D170C3" w:rsidRPr="00D170C3" w:rsidRDefault="00D170C3" w:rsidP="00D170C3">
      <w:pPr>
        <w:autoSpaceDE w:val="0"/>
        <w:autoSpaceDN w:val="0"/>
        <w:adjustRightInd w:val="0"/>
        <w:rPr>
          <w:rFonts w:cs="Calibri"/>
          <w:b/>
          <w:bCs/>
          <w:sz w:val="22"/>
          <w:szCs w:val="22"/>
        </w:rPr>
      </w:pPr>
      <w:r w:rsidRPr="00D170C3">
        <w:rPr>
          <w:rFonts w:cs="Calibri"/>
          <w:b/>
          <w:bCs/>
          <w:sz w:val="22"/>
          <w:szCs w:val="22"/>
        </w:rPr>
        <w:t>Significant votes</w:t>
      </w:r>
    </w:p>
    <w:p w14:paraId="5CB34ABF" w14:textId="1DCD4103" w:rsidR="00D170C3" w:rsidRPr="00D170C3" w:rsidRDefault="00D170C3" w:rsidP="00D170C3">
      <w:pPr>
        <w:pStyle w:val="ListParagraph"/>
        <w:numPr>
          <w:ilvl w:val="0"/>
          <w:numId w:val="5"/>
        </w:numPr>
        <w:rPr>
          <w:rFonts w:eastAsia="Times New Roman" w:cs="Calibri"/>
          <w:b/>
          <w:bCs/>
          <w:color w:val="000000"/>
          <w:sz w:val="22"/>
          <w:szCs w:val="22"/>
          <w:lang w:val="en-US" w:eastAsia="en-GB"/>
        </w:rPr>
      </w:pPr>
      <w:r w:rsidRPr="00D170C3">
        <w:rPr>
          <w:rFonts w:eastAsia="Times New Roman" w:cs="Calibri"/>
          <w:color w:val="000000"/>
          <w:sz w:val="22"/>
          <w:szCs w:val="22"/>
          <w:lang w:val="en-US" w:eastAsia="en-GB"/>
        </w:rPr>
        <w:t>The Trustee asked L&amp;G to provide details of what engagement they have had with companies and whether they had voted against any remuneration policy for this reason over the period</w:t>
      </w:r>
    </w:p>
    <w:p w14:paraId="7D4B844C" w14:textId="77777777" w:rsidR="00D170C3" w:rsidRPr="00D170C3" w:rsidRDefault="00D170C3" w:rsidP="00D170C3">
      <w:pPr>
        <w:rPr>
          <w:rFonts w:cs="Calibri"/>
          <w:b/>
          <w:bCs/>
          <w:color w:val="000000" w:themeColor="text1"/>
          <w:sz w:val="22"/>
          <w:szCs w:val="22"/>
        </w:rPr>
      </w:pPr>
    </w:p>
    <w:p w14:paraId="2F786CBA" w14:textId="33637042" w:rsidR="00D170C3" w:rsidRPr="00D170C3" w:rsidRDefault="00D170C3" w:rsidP="00D170C3">
      <w:pPr>
        <w:rPr>
          <w:rFonts w:cs="Calibri"/>
          <w:color w:val="000000" w:themeColor="text1"/>
          <w:sz w:val="22"/>
          <w:szCs w:val="22"/>
          <w:lang w:val="en-US"/>
        </w:rPr>
      </w:pPr>
      <w:r w:rsidRPr="00D170C3">
        <w:rPr>
          <w:rFonts w:cs="Calibri"/>
          <w:color w:val="000000" w:themeColor="text1"/>
          <w:sz w:val="22"/>
          <w:szCs w:val="22"/>
          <w:lang w:val="en-US"/>
        </w:rPr>
        <w:t>L&amp;G responded that they have an established policy on executive pension alignment. They expect directors’ pension provisions to be aligned with what is offered to a majority of the workforce in which they operate. As such, L&amp;G will vote against the remuneration policy where there have been no changes proposed to address a disparity in pension provisions.</w:t>
      </w:r>
      <w:r w:rsidRPr="00D170C3">
        <w:rPr>
          <w:rFonts w:cs="Calibri"/>
          <w:color w:val="000000" w:themeColor="text1"/>
          <w:sz w:val="22"/>
          <w:szCs w:val="22"/>
        </w:rPr>
        <w:t> </w:t>
      </w:r>
    </w:p>
    <w:p w14:paraId="39EFDF75" w14:textId="77777777" w:rsidR="00D170C3" w:rsidRPr="00D170C3" w:rsidRDefault="00D170C3" w:rsidP="00D170C3">
      <w:pPr>
        <w:rPr>
          <w:rFonts w:cs="Calibri"/>
          <w:color w:val="000000" w:themeColor="text1"/>
          <w:sz w:val="22"/>
          <w:szCs w:val="22"/>
        </w:rPr>
      </w:pPr>
      <w:r w:rsidRPr="00D170C3">
        <w:rPr>
          <w:rFonts w:cs="Calibri"/>
          <w:color w:val="000000" w:themeColor="text1"/>
          <w:sz w:val="22"/>
          <w:szCs w:val="22"/>
          <w:lang w:val="en-US"/>
        </w:rPr>
        <w:t> </w:t>
      </w:r>
      <w:r w:rsidRPr="00D170C3">
        <w:rPr>
          <w:rFonts w:cs="Calibri"/>
          <w:color w:val="000000" w:themeColor="text1"/>
          <w:sz w:val="22"/>
          <w:szCs w:val="22"/>
        </w:rPr>
        <w:t> </w:t>
      </w:r>
    </w:p>
    <w:p w14:paraId="425C54B6" w14:textId="1EDC7416" w:rsidR="00D170C3" w:rsidRPr="00D170C3" w:rsidRDefault="00D170C3" w:rsidP="00D170C3">
      <w:pPr>
        <w:rPr>
          <w:rFonts w:cs="Calibri"/>
          <w:color w:val="000000" w:themeColor="text1"/>
          <w:sz w:val="22"/>
          <w:szCs w:val="22"/>
        </w:rPr>
      </w:pPr>
      <w:r w:rsidRPr="00D170C3">
        <w:rPr>
          <w:rFonts w:cs="Calibri"/>
          <w:color w:val="000000" w:themeColor="text1"/>
          <w:sz w:val="22"/>
          <w:szCs w:val="22"/>
          <w:lang w:val="en-US"/>
        </w:rPr>
        <w:t>There are very few companies in the UK that still have enhanced pension provisions for their existing directors, let alone new directors coming in. L&amp;G clearly lay out our expectation in their published policy documents and will notify companies during remuneration engagements of their voting intentions in this regard.</w:t>
      </w:r>
      <w:r w:rsidRPr="00D170C3">
        <w:rPr>
          <w:rFonts w:cs="Calibri"/>
          <w:color w:val="000000" w:themeColor="text1"/>
          <w:sz w:val="22"/>
          <w:szCs w:val="22"/>
        </w:rPr>
        <w:t> </w:t>
      </w:r>
    </w:p>
    <w:p w14:paraId="6B2A8F59" w14:textId="77777777" w:rsidR="00D170C3" w:rsidRPr="00D170C3" w:rsidRDefault="00D170C3" w:rsidP="00D170C3">
      <w:pPr>
        <w:rPr>
          <w:rFonts w:cs="Calibri"/>
          <w:color w:val="000000" w:themeColor="text1"/>
          <w:sz w:val="22"/>
          <w:szCs w:val="22"/>
        </w:rPr>
      </w:pPr>
    </w:p>
    <w:p w14:paraId="5ACA433D" w14:textId="6B04035B" w:rsidR="00D170C3" w:rsidRPr="00D170C3" w:rsidRDefault="00D170C3" w:rsidP="00D170C3">
      <w:pPr>
        <w:rPr>
          <w:rFonts w:cs="Calibri"/>
          <w:color w:val="000000" w:themeColor="text1"/>
          <w:sz w:val="22"/>
          <w:szCs w:val="22"/>
        </w:rPr>
      </w:pPr>
      <w:r w:rsidRPr="00D170C3">
        <w:rPr>
          <w:rFonts w:cs="Calibri"/>
          <w:color w:val="000000" w:themeColor="text1"/>
          <w:sz w:val="22"/>
          <w:szCs w:val="22"/>
        </w:rPr>
        <w:t>L&amp;G stated that in 2025 they did not issue any votes against management globally over the specific concerns that the company failed to meet L&amp;G’s minimum expectations on pension alignment with the wider workforce or increasing pensions provisions for executive directors. However, they did vote against management on 47 occasions due to other concerns regarding pensions, including lack of pension disclosure or excessive contributions to executives.</w:t>
      </w:r>
    </w:p>
    <w:p w14:paraId="1C826962" w14:textId="77777777" w:rsidR="00D170C3" w:rsidRPr="00D170C3" w:rsidRDefault="00D170C3" w:rsidP="00D170C3">
      <w:pPr>
        <w:rPr>
          <w:rFonts w:cs="Calibri"/>
          <w:b/>
          <w:bCs/>
          <w:color w:val="000000" w:themeColor="text1"/>
          <w:sz w:val="22"/>
          <w:szCs w:val="22"/>
        </w:rPr>
      </w:pPr>
    </w:p>
    <w:p w14:paraId="2C29A5A4" w14:textId="3E466587" w:rsidR="00D170C3" w:rsidRPr="00D170C3" w:rsidRDefault="00D170C3" w:rsidP="00D170C3">
      <w:pPr>
        <w:rPr>
          <w:rFonts w:cs="Calibri"/>
          <w:b/>
          <w:bCs/>
          <w:sz w:val="22"/>
          <w:szCs w:val="22"/>
        </w:rPr>
      </w:pPr>
      <w:r w:rsidRPr="00D170C3">
        <w:rPr>
          <w:rFonts w:cs="Calibri"/>
          <w:b/>
          <w:bCs/>
          <w:sz w:val="22"/>
          <w:szCs w:val="22"/>
        </w:rPr>
        <w:t>Newton:</w:t>
      </w:r>
    </w:p>
    <w:p w14:paraId="54C46157" w14:textId="77777777" w:rsidR="00D170C3" w:rsidRPr="00D170C3" w:rsidRDefault="00D170C3" w:rsidP="00D170C3">
      <w:pPr>
        <w:rPr>
          <w:rFonts w:cs="Calibri"/>
          <w:b/>
          <w:bCs/>
          <w:sz w:val="22"/>
          <w:szCs w:val="22"/>
        </w:rPr>
      </w:pPr>
      <w:r w:rsidRPr="00D170C3">
        <w:rPr>
          <w:rFonts w:cs="Calibri"/>
          <w:b/>
          <w:bCs/>
          <w:sz w:val="22"/>
          <w:szCs w:val="22"/>
        </w:rPr>
        <w:t>Significant vote:</w:t>
      </w:r>
    </w:p>
    <w:p w14:paraId="0CD71B81" w14:textId="4DCCC889" w:rsidR="00D170C3" w:rsidRPr="00D170C3" w:rsidRDefault="00D170C3" w:rsidP="00D170C3">
      <w:pPr>
        <w:pStyle w:val="ListParagraph"/>
        <w:numPr>
          <w:ilvl w:val="0"/>
          <w:numId w:val="17"/>
        </w:numPr>
        <w:rPr>
          <w:rFonts w:eastAsia="Times New Roman" w:cs="Calibri"/>
          <w:color w:val="000000"/>
          <w:sz w:val="22"/>
          <w:szCs w:val="22"/>
          <w:lang w:val="en-US" w:eastAsia="en-GB"/>
        </w:rPr>
      </w:pPr>
      <w:r w:rsidRPr="00D170C3">
        <w:rPr>
          <w:rFonts w:eastAsia="Times New Roman" w:cs="Calibri"/>
          <w:color w:val="000000"/>
          <w:sz w:val="22"/>
          <w:szCs w:val="22"/>
          <w:lang w:val="en-US" w:eastAsia="en-GB"/>
        </w:rPr>
        <w:t>The Trustee also asked Newton to provide details of what engagement you have had, if any, with companies and how they had voted on the issue over the period.</w:t>
      </w:r>
    </w:p>
    <w:p w14:paraId="41F98A44" w14:textId="77777777" w:rsidR="00D012D9" w:rsidRPr="00D170C3" w:rsidRDefault="00D012D9" w:rsidP="002930E3">
      <w:pPr>
        <w:rPr>
          <w:rFonts w:cs="Calibri"/>
          <w:sz w:val="22"/>
          <w:szCs w:val="22"/>
        </w:rPr>
      </w:pPr>
    </w:p>
    <w:p w14:paraId="2C1DEC33" w14:textId="2D662EF0" w:rsidR="00D170C3" w:rsidRPr="00D170C3" w:rsidRDefault="00D170C3" w:rsidP="002930E3">
      <w:pPr>
        <w:rPr>
          <w:rFonts w:cs="Calibri"/>
          <w:sz w:val="22"/>
          <w:szCs w:val="22"/>
        </w:rPr>
      </w:pPr>
      <w:r w:rsidRPr="00D170C3">
        <w:rPr>
          <w:rFonts w:cs="Calibri"/>
          <w:sz w:val="22"/>
          <w:szCs w:val="22"/>
        </w:rPr>
        <w:t xml:space="preserve">Newton declined to respond to the question. Their 2025 voting season report did not appear to mention pensions. </w:t>
      </w:r>
    </w:p>
    <w:p w14:paraId="02FDC5C6" w14:textId="77777777" w:rsidR="00D170C3" w:rsidRPr="00D170C3" w:rsidRDefault="00D170C3" w:rsidP="002930E3">
      <w:pPr>
        <w:rPr>
          <w:rFonts w:cs="Calibri"/>
          <w:sz w:val="22"/>
          <w:szCs w:val="22"/>
        </w:rPr>
      </w:pPr>
    </w:p>
    <w:p w14:paraId="706B8D0D" w14:textId="479490D5" w:rsidR="00D170C3" w:rsidRPr="00D170C3" w:rsidRDefault="00D170C3" w:rsidP="002930E3">
      <w:pPr>
        <w:rPr>
          <w:rFonts w:cs="Calibri"/>
          <w:b/>
          <w:bCs/>
          <w:sz w:val="22"/>
          <w:szCs w:val="22"/>
        </w:rPr>
      </w:pPr>
      <w:r w:rsidRPr="00D170C3">
        <w:rPr>
          <w:rFonts w:cs="Calibri"/>
          <w:b/>
          <w:bCs/>
          <w:sz w:val="22"/>
          <w:szCs w:val="22"/>
        </w:rPr>
        <w:t>4. Summary of votes cast</w:t>
      </w:r>
    </w:p>
    <w:p w14:paraId="47D33E29" w14:textId="77777777" w:rsidR="00D170C3" w:rsidRDefault="00D170C3" w:rsidP="002930E3">
      <w:pPr>
        <w:rPr>
          <w:sz w:val="22"/>
          <w:szCs w:val="22"/>
        </w:rPr>
      </w:pPr>
    </w:p>
    <w:tbl>
      <w:tblPr>
        <w:tblW w:w="9780" w:type="dxa"/>
        <w:tblInd w:w="-5" w:type="dxa"/>
        <w:tblLook w:val="04A0" w:firstRow="1" w:lastRow="0" w:firstColumn="1" w:lastColumn="0" w:noHBand="0" w:noVBand="1"/>
      </w:tblPr>
      <w:tblGrid>
        <w:gridCol w:w="3828"/>
        <w:gridCol w:w="2976"/>
        <w:gridCol w:w="2976"/>
      </w:tblGrid>
      <w:tr w:rsidR="00D170C3" w:rsidRPr="00123C9E" w14:paraId="4AC5CDAA" w14:textId="77777777" w:rsidTr="00FD3336">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92D050"/>
          </w:tcPr>
          <w:p w14:paraId="26D87445" w14:textId="77777777" w:rsidR="00D170C3" w:rsidRPr="00BF3D14" w:rsidRDefault="00D170C3" w:rsidP="00FD3336">
            <w:pPr>
              <w:rPr>
                <w:rFonts w:cs="Calibri"/>
                <w:b/>
                <w:bCs/>
                <w:sz w:val="16"/>
                <w:szCs w:val="16"/>
              </w:rPr>
            </w:pPr>
            <w:r w:rsidRPr="00BF3D14">
              <w:rPr>
                <w:rFonts w:cs="Calibri"/>
                <w:b/>
                <w:bCs/>
                <w:sz w:val="16"/>
                <w:szCs w:val="16"/>
              </w:rPr>
              <w:t>Question</w:t>
            </w:r>
          </w:p>
          <w:p w14:paraId="58F14FCF" w14:textId="77777777" w:rsidR="00D170C3" w:rsidRPr="00BF3D14" w:rsidRDefault="00D170C3" w:rsidP="00FD3336">
            <w:pPr>
              <w:rPr>
                <w:rFonts w:cs="Calibri"/>
                <w:b/>
                <w:bCs/>
                <w:sz w:val="16"/>
                <w:szCs w:val="16"/>
              </w:rPr>
            </w:pPr>
          </w:p>
          <w:p w14:paraId="3C8FA2BF" w14:textId="77777777" w:rsidR="00D170C3" w:rsidRPr="00BF3D14" w:rsidRDefault="00D170C3" w:rsidP="00FD3336">
            <w:pPr>
              <w:rPr>
                <w:rFonts w:cs="Calibri"/>
                <w:b/>
                <w:bCs/>
                <w:sz w:val="16"/>
                <w:szCs w:val="16"/>
              </w:rPr>
            </w:pPr>
          </w:p>
        </w:tc>
        <w:tc>
          <w:tcPr>
            <w:tcW w:w="2976" w:type="dxa"/>
            <w:tcBorders>
              <w:top w:val="single" w:sz="4" w:space="0" w:color="auto"/>
              <w:left w:val="nil"/>
              <w:bottom w:val="single" w:sz="4" w:space="0" w:color="auto"/>
              <w:right w:val="single" w:sz="4" w:space="0" w:color="auto"/>
            </w:tcBorders>
            <w:shd w:val="clear" w:color="000000" w:fill="F2F2F2"/>
          </w:tcPr>
          <w:p w14:paraId="6D635E76" w14:textId="0A03E5F5" w:rsidR="00D170C3" w:rsidRPr="00BF3D14" w:rsidRDefault="0073093D" w:rsidP="00FD3336">
            <w:pPr>
              <w:rPr>
                <w:rFonts w:cs="Calibri"/>
                <w:b/>
                <w:bCs/>
                <w:sz w:val="16"/>
                <w:szCs w:val="16"/>
              </w:rPr>
            </w:pPr>
            <w:r>
              <w:rPr>
                <w:rFonts w:cs="Calibri"/>
                <w:b/>
                <w:bCs/>
                <w:sz w:val="16"/>
                <w:szCs w:val="16"/>
              </w:rPr>
              <w:t>L&amp;G</w:t>
            </w:r>
            <w:r w:rsidR="00D170C3" w:rsidRPr="00BF3D14">
              <w:rPr>
                <w:rFonts w:cs="Calibri"/>
                <w:b/>
                <w:bCs/>
                <w:sz w:val="16"/>
                <w:szCs w:val="16"/>
              </w:rPr>
              <w:t>: Global Equity Fixed Weights (50-50) Index Fund</w:t>
            </w:r>
          </w:p>
          <w:p w14:paraId="182BD659" w14:textId="77777777" w:rsidR="00D170C3" w:rsidRPr="00BF3D14" w:rsidRDefault="00D170C3" w:rsidP="00FD3336">
            <w:pPr>
              <w:rPr>
                <w:rFonts w:cs="Calibri"/>
                <w:i/>
                <w:iCs/>
                <w:sz w:val="16"/>
                <w:szCs w:val="16"/>
              </w:rPr>
            </w:pPr>
            <w:r w:rsidRPr="00BF3D14">
              <w:rPr>
                <w:rFonts w:cs="Calibri"/>
                <w:i/>
                <w:iCs/>
                <w:sz w:val="16"/>
                <w:szCs w:val="16"/>
              </w:rPr>
              <w:t>Data was supplied for the year to 31.12.25</w:t>
            </w:r>
          </w:p>
        </w:tc>
        <w:tc>
          <w:tcPr>
            <w:tcW w:w="2976" w:type="dxa"/>
            <w:tcBorders>
              <w:top w:val="single" w:sz="4" w:space="0" w:color="auto"/>
              <w:left w:val="nil"/>
              <w:bottom w:val="single" w:sz="4" w:space="0" w:color="auto"/>
              <w:right w:val="single" w:sz="4" w:space="0" w:color="auto"/>
            </w:tcBorders>
            <w:shd w:val="clear" w:color="000000" w:fill="F2F2F2"/>
          </w:tcPr>
          <w:p w14:paraId="64CAC303" w14:textId="77777777" w:rsidR="00D170C3" w:rsidRPr="00123C9E" w:rsidRDefault="00D170C3" w:rsidP="00FD3336">
            <w:pPr>
              <w:rPr>
                <w:rFonts w:cs="Calibri"/>
                <w:b/>
                <w:bCs/>
                <w:sz w:val="16"/>
                <w:szCs w:val="16"/>
              </w:rPr>
            </w:pPr>
            <w:r w:rsidRPr="00123C9E">
              <w:rPr>
                <w:rFonts w:cs="Calibri"/>
                <w:b/>
                <w:bCs/>
                <w:sz w:val="16"/>
                <w:szCs w:val="16"/>
              </w:rPr>
              <w:t xml:space="preserve">Newton Real Return Fund </w:t>
            </w:r>
          </w:p>
          <w:p w14:paraId="51A82A26" w14:textId="77777777" w:rsidR="00D170C3" w:rsidRPr="00123C9E" w:rsidRDefault="00D170C3" w:rsidP="00FD3336">
            <w:pPr>
              <w:rPr>
                <w:rFonts w:cs="Calibri"/>
                <w:i/>
                <w:iCs/>
                <w:sz w:val="16"/>
                <w:szCs w:val="16"/>
              </w:rPr>
            </w:pPr>
          </w:p>
          <w:p w14:paraId="3B65C866" w14:textId="77777777" w:rsidR="00D170C3" w:rsidRPr="00123C9E" w:rsidRDefault="00D170C3" w:rsidP="00FD3336">
            <w:pPr>
              <w:rPr>
                <w:rFonts w:cs="Calibri"/>
                <w:i/>
                <w:iCs/>
                <w:sz w:val="16"/>
                <w:szCs w:val="16"/>
              </w:rPr>
            </w:pPr>
            <w:r w:rsidRPr="00123C9E">
              <w:rPr>
                <w:rFonts w:cs="Calibri"/>
                <w:i/>
                <w:iCs/>
                <w:sz w:val="16"/>
                <w:szCs w:val="16"/>
              </w:rPr>
              <w:t>Data supplied for the year to 30.9.2025</w:t>
            </w:r>
          </w:p>
        </w:tc>
      </w:tr>
      <w:tr w:rsidR="00BF3D14" w:rsidRPr="00123C9E" w14:paraId="7CD0374E" w14:textId="77777777" w:rsidTr="00BF3D14">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92D050"/>
          </w:tcPr>
          <w:p w14:paraId="216FE015" w14:textId="77777777" w:rsidR="00BF3D14" w:rsidRPr="00BF3D14" w:rsidRDefault="00BF3D14" w:rsidP="00BF3D14">
            <w:pPr>
              <w:rPr>
                <w:rFonts w:cs="Calibri"/>
                <w:sz w:val="16"/>
                <w:szCs w:val="16"/>
              </w:rPr>
            </w:pPr>
            <w:r w:rsidRPr="00BF3D14">
              <w:rPr>
                <w:rFonts w:cs="Calibri"/>
                <w:sz w:val="16"/>
                <w:szCs w:val="16"/>
              </w:rPr>
              <w:t xml:space="preserve">What was the total size of the fund as at 31.10.2025?                      </w:t>
            </w:r>
          </w:p>
        </w:tc>
        <w:tc>
          <w:tcPr>
            <w:tcW w:w="2976" w:type="dxa"/>
            <w:tcBorders>
              <w:top w:val="single" w:sz="4" w:space="0" w:color="auto"/>
              <w:left w:val="nil"/>
              <w:bottom w:val="single" w:sz="4" w:space="0" w:color="auto"/>
              <w:right w:val="single" w:sz="4" w:space="0" w:color="auto"/>
            </w:tcBorders>
            <w:shd w:val="clear" w:color="000000" w:fill="F2F2F2"/>
          </w:tcPr>
          <w:p w14:paraId="5BF439A1" w14:textId="2D2C70BD" w:rsidR="00BF3D14" w:rsidRPr="00BF3D14" w:rsidRDefault="00BF3D14" w:rsidP="00BF3D14">
            <w:pPr>
              <w:rPr>
                <w:rFonts w:cs="Calibri"/>
                <w:sz w:val="16"/>
                <w:szCs w:val="16"/>
                <w:lang w:eastAsia="en-GB"/>
              </w:rPr>
            </w:pPr>
            <w:r w:rsidRPr="00BF3D14">
              <w:rPr>
                <w:rFonts w:cs="Calibri"/>
                <w:color w:val="000000"/>
                <w:sz w:val="16"/>
                <w:szCs w:val="16"/>
              </w:rPr>
              <w:t xml:space="preserve"> </w:t>
            </w:r>
            <w:r>
              <w:rPr>
                <w:rFonts w:cs="Calibri"/>
                <w:color w:val="000000"/>
                <w:sz w:val="16"/>
                <w:szCs w:val="16"/>
              </w:rPr>
              <w:t>£</w:t>
            </w:r>
            <w:r w:rsidRPr="00BF3D14">
              <w:rPr>
                <w:rFonts w:cs="Calibri"/>
                <w:color w:val="000000"/>
                <w:sz w:val="16"/>
                <w:szCs w:val="16"/>
              </w:rPr>
              <w:t xml:space="preserve"> 1,821,145,375 </w:t>
            </w:r>
          </w:p>
        </w:tc>
        <w:tc>
          <w:tcPr>
            <w:tcW w:w="2976" w:type="dxa"/>
            <w:tcBorders>
              <w:top w:val="single" w:sz="4" w:space="0" w:color="auto"/>
              <w:left w:val="nil"/>
              <w:bottom w:val="single" w:sz="4" w:space="0" w:color="auto"/>
              <w:right w:val="single" w:sz="4" w:space="0" w:color="auto"/>
            </w:tcBorders>
            <w:shd w:val="clear" w:color="000000" w:fill="F2F2F2"/>
          </w:tcPr>
          <w:p w14:paraId="4353B193" w14:textId="77777777" w:rsidR="00BF3D14" w:rsidRPr="00123C9E" w:rsidRDefault="00BF3D14" w:rsidP="00BF3D14">
            <w:pPr>
              <w:rPr>
                <w:sz w:val="16"/>
                <w:szCs w:val="16"/>
                <w:lang w:eastAsia="en-GB"/>
              </w:rPr>
            </w:pPr>
            <w:r w:rsidRPr="00123C9E">
              <w:rPr>
                <w:sz w:val="16"/>
                <w:szCs w:val="16"/>
                <w:lang w:eastAsia="en-GB"/>
              </w:rPr>
              <w:t>£2,076,800,000</w:t>
            </w:r>
          </w:p>
        </w:tc>
      </w:tr>
      <w:tr w:rsidR="00BF3D14" w:rsidRPr="00123C9E" w14:paraId="0FF136DB" w14:textId="77777777" w:rsidTr="00103A21">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92D050"/>
          </w:tcPr>
          <w:p w14:paraId="5AE6A28C" w14:textId="77777777" w:rsidR="00BF3D14" w:rsidRPr="00BF3D14" w:rsidRDefault="00BF3D14" w:rsidP="00BF3D14">
            <w:pPr>
              <w:rPr>
                <w:rFonts w:cs="Calibri"/>
                <w:sz w:val="16"/>
                <w:szCs w:val="16"/>
              </w:rPr>
            </w:pPr>
            <w:r w:rsidRPr="00BF3D14">
              <w:rPr>
                <w:rFonts w:cs="Calibri"/>
                <w:sz w:val="16"/>
                <w:szCs w:val="16"/>
              </w:rPr>
              <w:t>What was the number of equity holdings in the fund as at 31.10.2025?</w:t>
            </w:r>
          </w:p>
        </w:tc>
        <w:tc>
          <w:tcPr>
            <w:tcW w:w="2976" w:type="dxa"/>
            <w:tcBorders>
              <w:top w:val="single" w:sz="4" w:space="0" w:color="auto"/>
              <w:left w:val="nil"/>
              <w:bottom w:val="single" w:sz="4" w:space="0" w:color="auto"/>
              <w:right w:val="single" w:sz="4" w:space="0" w:color="auto"/>
            </w:tcBorders>
            <w:shd w:val="clear" w:color="000000" w:fill="F2F2F2"/>
            <w:vAlign w:val="bottom"/>
          </w:tcPr>
          <w:p w14:paraId="5CF6AE66" w14:textId="748F6748" w:rsidR="00BF3D14" w:rsidRPr="00BF3D14" w:rsidRDefault="00BF3D14" w:rsidP="00BF3D14">
            <w:pPr>
              <w:rPr>
                <w:rFonts w:cs="Calibri"/>
                <w:sz w:val="16"/>
                <w:szCs w:val="16"/>
              </w:rPr>
            </w:pPr>
            <w:r w:rsidRPr="00BF3D14">
              <w:rPr>
                <w:rFonts w:cs="Calibri"/>
                <w:color w:val="000000"/>
                <w:sz w:val="16"/>
                <w:szCs w:val="16"/>
              </w:rPr>
              <w:t>2869</w:t>
            </w:r>
          </w:p>
        </w:tc>
        <w:tc>
          <w:tcPr>
            <w:tcW w:w="2976" w:type="dxa"/>
            <w:tcBorders>
              <w:top w:val="single" w:sz="4" w:space="0" w:color="auto"/>
              <w:left w:val="nil"/>
              <w:bottom w:val="single" w:sz="4" w:space="0" w:color="auto"/>
              <w:right w:val="single" w:sz="4" w:space="0" w:color="auto"/>
            </w:tcBorders>
            <w:shd w:val="clear" w:color="000000" w:fill="F2F2F2"/>
          </w:tcPr>
          <w:p w14:paraId="7E8D5B37" w14:textId="77777777" w:rsidR="00BF3D14" w:rsidRPr="00123C9E" w:rsidRDefault="00BF3D14" w:rsidP="00BF3D14">
            <w:pPr>
              <w:rPr>
                <w:sz w:val="16"/>
                <w:szCs w:val="16"/>
              </w:rPr>
            </w:pPr>
            <w:r w:rsidRPr="00123C9E">
              <w:rPr>
                <w:sz w:val="16"/>
                <w:szCs w:val="16"/>
                <w:lang w:eastAsia="en-GB"/>
              </w:rPr>
              <w:t>65</w:t>
            </w:r>
          </w:p>
        </w:tc>
      </w:tr>
      <w:tr w:rsidR="00D170C3" w:rsidRPr="00123C9E" w14:paraId="2BD3D750" w14:textId="77777777" w:rsidTr="00FD3336">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92D050"/>
          </w:tcPr>
          <w:p w14:paraId="33D23C5C" w14:textId="77777777" w:rsidR="00D170C3" w:rsidRPr="00BF3D14" w:rsidRDefault="00D170C3" w:rsidP="00FD3336">
            <w:pPr>
              <w:rPr>
                <w:rFonts w:cs="Calibri"/>
                <w:sz w:val="16"/>
                <w:szCs w:val="16"/>
              </w:rPr>
            </w:pPr>
            <w:r w:rsidRPr="00BF3D14">
              <w:rPr>
                <w:rFonts w:cs="Calibri"/>
                <w:sz w:val="16"/>
                <w:szCs w:val="16"/>
              </w:rPr>
              <w:t>Total size of Scheme assets invested in the fund/mandate as at the end of the Reporting Period (if known)?</w:t>
            </w:r>
          </w:p>
        </w:tc>
        <w:tc>
          <w:tcPr>
            <w:tcW w:w="2976" w:type="dxa"/>
            <w:tcBorders>
              <w:top w:val="single" w:sz="4" w:space="0" w:color="auto"/>
              <w:left w:val="nil"/>
              <w:bottom w:val="single" w:sz="4" w:space="0" w:color="auto"/>
              <w:right w:val="single" w:sz="4" w:space="0" w:color="auto"/>
            </w:tcBorders>
            <w:shd w:val="clear" w:color="000000" w:fill="F2F2F2"/>
          </w:tcPr>
          <w:p w14:paraId="2362763B" w14:textId="77777777" w:rsidR="00D170C3" w:rsidRPr="00BF3D14" w:rsidRDefault="00D170C3" w:rsidP="00FD3336">
            <w:pPr>
              <w:rPr>
                <w:rFonts w:cs="Calibri"/>
                <w:sz w:val="16"/>
                <w:szCs w:val="16"/>
              </w:rPr>
            </w:pPr>
          </w:p>
        </w:tc>
        <w:tc>
          <w:tcPr>
            <w:tcW w:w="2976" w:type="dxa"/>
            <w:tcBorders>
              <w:top w:val="single" w:sz="4" w:space="0" w:color="auto"/>
              <w:left w:val="nil"/>
              <w:bottom w:val="single" w:sz="4" w:space="0" w:color="auto"/>
              <w:right w:val="single" w:sz="4" w:space="0" w:color="auto"/>
            </w:tcBorders>
            <w:shd w:val="clear" w:color="000000" w:fill="F2F2F2"/>
          </w:tcPr>
          <w:p w14:paraId="135E82FD" w14:textId="77777777" w:rsidR="00D170C3" w:rsidRPr="00123C9E" w:rsidRDefault="00D170C3" w:rsidP="00FD3336">
            <w:pPr>
              <w:rPr>
                <w:sz w:val="16"/>
                <w:szCs w:val="16"/>
              </w:rPr>
            </w:pPr>
          </w:p>
        </w:tc>
      </w:tr>
      <w:tr w:rsidR="00BF3D14" w:rsidRPr="00123C9E" w14:paraId="032F2428" w14:textId="77777777" w:rsidTr="0091770A">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92D050"/>
            <w:hideMark/>
          </w:tcPr>
          <w:p w14:paraId="78F7E2C3" w14:textId="77777777" w:rsidR="00BF3D14" w:rsidRPr="00BF3D14" w:rsidRDefault="00BF3D14" w:rsidP="00BF3D14">
            <w:pPr>
              <w:rPr>
                <w:rFonts w:cs="Calibri"/>
                <w:sz w:val="16"/>
                <w:szCs w:val="16"/>
                <w:lang w:eastAsia="en-GB"/>
              </w:rPr>
            </w:pPr>
            <w:r w:rsidRPr="00BF3D14">
              <w:rPr>
                <w:rFonts w:cs="Calibri"/>
                <w:sz w:val="16"/>
                <w:szCs w:val="16"/>
                <w:lang w:eastAsia="en-GB"/>
              </w:rPr>
              <w:t xml:space="preserve">How many meetings were you eligible to vote at over the year to </w:t>
            </w:r>
            <w:r w:rsidRPr="00BF3D14">
              <w:rPr>
                <w:rFonts w:cs="Calibri"/>
                <w:sz w:val="16"/>
                <w:szCs w:val="16"/>
              </w:rPr>
              <w:t>31.10.2025?</w:t>
            </w:r>
          </w:p>
        </w:tc>
        <w:tc>
          <w:tcPr>
            <w:tcW w:w="2976" w:type="dxa"/>
            <w:tcBorders>
              <w:top w:val="single" w:sz="4" w:space="0" w:color="auto"/>
              <w:left w:val="nil"/>
              <w:bottom w:val="single" w:sz="4" w:space="0" w:color="auto"/>
              <w:right w:val="single" w:sz="4" w:space="0" w:color="auto"/>
            </w:tcBorders>
            <w:shd w:val="clear" w:color="000000" w:fill="F2F2F2"/>
            <w:vAlign w:val="bottom"/>
          </w:tcPr>
          <w:p w14:paraId="58C356B6" w14:textId="6F7805C2" w:rsidR="00BF3D14" w:rsidRPr="00BF3D14" w:rsidRDefault="00BF3D14" w:rsidP="00BF3D14">
            <w:pPr>
              <w:rPr>
                <w:rFonts w:cs="Calibri"/>
                <w:sz w:val="16"/>
                <w:szCs w:val="16"/>
              </w:rPr>
            </w:pPr>
            <w:r w:rsidRPr="00BF3D14">
              <w:rPr>
                <w:rFonts w:cs="Calibri"/>
                <w:color w:val="000000"/>
                <w:sz w:val="16"/>
                <w:szCs w:val="16"/>
              </w:rPr>
              <w:t>2919</w:t>
            </w:r>
          </w:p>
        </w:tc>
        <w:tc>
          <w:tcPr>
            <w:tcW w:w="2976" w:type="dxa"/>
            <w:tcBorders>
              <w:top w:val="single" w:sz="4" w:space="0" w:color="auto"/>
              <w:left w:val="nil"/>
              <w:bottom w:val="single" w:sz="4" w:space="0" w:color="auto"/>
              <w:right w:val="single" w:sz="4" w:space="0" w:color="auto"/>
            </w:tcBorders>
            <w:shd w:val="clear" w:color="000000" w:fill="F2F2F2"/>
          </w:tcPr>
          <w:p w14:paraId="58E27854" w14:textId="77777777" w:rsidR="00BF3D14" w:rsidRPr="00123C9E" w:rsidRDefault="00BF3D14" w:rsidP="00BF3D14">
            <w:pPr>
              <w:rPr>
                <w:sz w:val="16"/>
                <w:szCs w:val="16"/>
              </w:rPr>
            </w:pPr>
            <w:r w:rsidRPr="00123C9E">
              <w:rPr>
                <w:sz w:val="16"/>
                <w:szCs w:val="16"/>
              </w:rPr>
              <w:t>66</w:t>
            </w:r>
          </w:p>
        </w:tc>
      </w:tr>
      <w:tr w:rsidR="00BF3D14" w:rsidRPr="00123C9E" w14:paraId="05815430" w14:textId="77777777" w:rsidTr="0091770A">
        <w:trPr>
          <w:trHeight w:val="560"/>
        </w:trPr>
        <w:tc>
          <w:tcPr>
            <w:tcW w:w="3828" w:type="dxa"/>
            <w:tcBorders>
              <w:top w:val="nil"/>
              <w:left w:val="single" w:sz="4" w:space="0" w:color="auto"/>
              <w:bottom w:val="single" w:sz="4" w:space="0" w:color="auto"/>
              <w:right w:val="single" w:sz="4" w:space="0" w:color="auto"/>
            </w:tcBorders>
            <w:shd w:val="clear" w:color="000000" w:fill="92D050"/>
            <w:hideMark/>
          </w:tcPr>
          <w:p w14:paraId="428ACCC0" w14:textId="77777777" w:rsidR="00BF3D14" w:rsidRPr="00BF3D14" w:rsidRDefault="00BF3D14" w:rsidP="00BF3D14">
            <w:pPr>
              <w:rPr>
                <w:rFonts w:cs="Calibri"/>
                <w:sz w:val="16"/>
                <w:szCs w:val="16"/>
                <w:lang w:eastAsia="en-GB"/>
              </w:rPr>
            </w:pPr>
            <w:r w:rsidRPr="00BF3D14">
              <w:rPr>
                <w:rFonts w:cs="Calibri"/>
                <w:sz w:val="16"/>
                <w:szCs w:val="16"/>
                <w:lang w:eastAsia="en-GB"/>
              </w:rPr>
              <w:t>How many resolutions were you eligible to vote on over the year to 30/06/2025?</w:t>
            </w:r>
          </w:p>
        </w:tc>
        <w:tc>
          <w:tcPr>
            <w:tcW w:w="2976" w:type="dxa"/>
            <w:tcBorders>
              <w:top w:val="nil"/>
              <w:left w:val="nil"/>
              <w:bottom w:val="single" w:sz="4" w:space="0" w:color="auto"/>
              <w:right w:val="single" w:sz="4" w:space="0" w:color="auto"/>
            </w:tcBorders>
            <w:shd w:val="clear" w:color="000000" w:fill="F2F2F2"/>
            <w:vAlign w:val="bottom"/>
          </w:tcPr>
          <w:p w14:paraId="61DDC0C2" w14:textId="12A6D755" w:rsidR="00BF3D14" w:rsidRPr="00BF3D14" w:rsidRDefault="00BF3D14" w:rsidP="00BF3D14">
            <w:pPr>
              <w:rPr>
                <w:rFonts w:cs="Calibri"/>
                <w:sz w:val="16"/>
                <w:szCs w:val="16"/>
              </w:rPr>
            </w:pPr>
            <w:r w:rsidRPr="00BF3D14">
              <w:rPr>
                <w:rFonts w:cs="Calibri"/>
                <w:color w:val="000000"/>
                <w:sz w:val="16"/>
                <w:szCs w:val="16"/>
              </w:rPr>
              <w:t>36894</w:t>
            </w:r>
          </w:p>
        </w:tc>
        <w:tc>
          <w:tcPr>
            <w:tcW w:w="2976" w:type="dxa"/>
            <w:tcBorders>
              <w:top w:val="nil"/>
              <w:left w:val="nil"/>
              <w:bottom w:val="single" w:sz="4" w:space="0" w:color="auto"/>
              <w:right w:val="single" w:sz="4" w:space="0" w:color="auto"/>
            </w:tcBorders>
            <w:shd w:val="clear" w:color="000000" w:fill="F2F2F2"/>
          </w:tcPr>
          <w:p w14:paraId="1338CF9C" w14:textId="77777777" w:rsidR="00BF3D14" w:rsidRPr="00123C9E" w:rsidRDefault="00BF3D14" w:rsidP="00BF3D14">
            <w:pPr>
              <w:rPr>
                <w:sz w:val="16"/>
                <w:szCs w:val="16"/>
              </w:rPr>
            </w:pPr>
            <w:r w:rsidRPr="00123C9E">
              <w:rPr>
                <w:sz w:val="16"/>
                <w:szCs w:val="16"/>
              </w:rPr>
              <w:t>981</w:t>
            </w:r>
          </w:p>
        </w:tc>
      </w:tr>
      <w:tr w:rsidR="00BF3D14" w:rsidRPr="00123C9E" w14:paraId="2B9210EE" w14:textId="77777777" w:rsidTr="0091770A">
        <w:trPr>
          <w:trHeight w:val="560"/>
        </w:trPr>
        <w:tc>
          <w:tcPr>
            <w:tcW w:w="3828" w:type="dxa"/>
            <w:tcBorders>
              <w:top w:val="nil"/>
              <w:left w:val="single" w:sz="4" w:space="0" w:color="auto"/>
              <w:bottom w:val="single" w:sz="4" w:space="0" w:color="auto"/>
              <w:right w:val="single" w:sz="4" w:space="0" w:color="auto"/>
            </w:tcBorders>
            <w:shd w:val="clear" w:color="000000" w:fill="92D050"/>
            <w:hideMark/>
          </w:tcPr>
          <w:p w14:paraId="4D8777F9" w14:textId="77777777" w:rsidR="00BF3D14" w:rsidRPr="00BF3D14" w:rsidRDefault="00BF3D14" w:rsidP="00BF3D14">
            <w:pPr>
              <w:rPr>
                <w:rFonts w:cs="Calibri"/>
                <w:sz w:val="16"/>
                <w:szCs w:val="16"/>
                <w:lang w:eastAsia="en-GB"/>
              </w:rPr>
            </w:pPr>
            <w:r w:rsidRPr="00BF3D14">
              <w:rPr>
                <w:rFonts w:cs="Calibri"/>
                <w:sz w:val="16"/>
                <w:szCs w:val="16"/>
                <w:lang w:eastAsia="en-GB"/>
              </w:rPr>
              <w:lastRenderedPageBreak/>
              <w:t>What % of resolutions did you vote on for which you were eligible?</w:t>
            </w:r>
          </w:p>
        </w:tc>
        <w:tc>
          <w:tcPr>
            <w:tcW w:w="2976" w:type="dxa"/>
            <w:tcBorders>
              <w:top w:val="nil"/>
              <w:left w:val="nil"/>
              <w:bottom w:val="single" w:sz="4" w:space="0" w:color="auto"/>
              <w:right w:val="single" w:sz="4" w:space="0" w:color="auto"/>
            </w:tcBorders>
            <w:shd w:val="clear" w:color="000000" w:fill="F2F2F2"/>
            <w:vAlign w:val="bottom"/>
          </w:tcPr>
          <w:p w14:paraId="611270AF" w14:textId="75B1C838" w:rsidR="00BF3D14" w:rsidRPr="00BF3D14" w:rsidRDefault="00BF3D14" w:rsidP="00BF3D14">
            <w:pPr>
              <w:rPr>
                <w:rFonts w:cs="Calibri"/>
                <w:sz w:val="16"/>
                <w:szCs w:val="16"/>
                <w:lang w:eastAsia="en-GB"/>
              </w:rPr>
            </w:pPr>
            <w:r w:rsidRPr="00BF3D14">
              <w:rPr>
                <w:rFonts w:cs="Calibri"/>
                <w:color w:val="000000"/>
                <w:sz w:val="16"/>
                <w:szCs w:val="16"/>
              </w:rPr>
              <w:t>99.94%</w:t>
            </w:r>
          </w:p>
        </w:tc>
        <w:tc>
          <w:tcPr>
            <w:tcW w:w="2976" w:type="dxa"/>
            <w:tcBorders>
              <w:top w:val="nil"/>
              <w:left w:val="nil"/>
              <w:bottom w:val="single" w:sz="4" w:space="0" w:color="auto"/>
              <w:right w:val="single" w:sz="4" w:space="0" w:color="auto"/>
            </w:tcBorders>
            <w:shd w:val="clear" w:color="000000" w:fill="F2F2F2"/>
          </w:tcPr>
          <w:p w14:paraId="1B79D2A0" w14:textId="77777777" w:rsidR="00BF3D14" w:rsidRPr="00123C9E" w:rsidRDefault="00BF3D14" w:rsidP="00BF3D14">
            <w:pPr>
              <w:rPr>
                <w:sz w:val="16"/>
                <w:szCs w:val="16"/>
                <w:lang w:eastAsia="en-GB"/>
              </w:rPr>
            </w:pPr>
            <w:r w:rsidRPr="00123C9E">
              <w:rPr>
                <w:sz w:val="16"/>
                <w:szCs w:val="16"/>
              </w:rPr>
              <w:t>98.7%</w:t>
            </w:r>
          </w:p>
        </w:tc>
      </w:tr>
      <w:tr w:rsidR="00BF3D14" w:rsidRPr="00123C9E" w14:paraId="5DBAC425" w14:textId="77777777" w:rsidTr="0091770A">
        <w:trPr>
          <w:trHeight w:val="560"/>
        </w:trPr>
        <w:tc>
          <w:tcPr>
            <w:tcW w:w="3828" w:type="dxa"/>
            <w:tcBorders>
              <w:top w:val="nil"/>
              <w:left w:val="single" w:sz="4" w:space="0" w:color="auto"/>
              <w:bottom w:val="single" w:sz="4" w:space="0" w:color="auto"/>
              <w:right w:val="single" w:sz="4" w:space="0" w:color="auto"/>
            </w:tcBorders>
            <w:shd w:val="clear" w:color="000000" w:fill="92D050"/>
            <w:hideMark/>
          </w:tcPr>
          <w:p w14:paraId="1DA034E8" w14:textId="77777777" w:rsidR="00BF3D14" w:rsidRPr="00BF3D14" w:rsidRDefault="00BF3D14" w:rsidP="00BF3D14">
            <w:pPr>
              <w:rPr>
                <w:rFonts w:cs="Calibri"/>
                <w:sz w:val="16"/>
                <w:szCs w:val="16"/>
                <w:lang w:eastAsia="en-GB"/>
              </w:rPr>
            </w:pPr>
            <w:r w:rsidRPr="00BF3D14">
              <w:rPr>
                <w:rFonts w:cs="Calibri"/>
                <w:sz w:val="16"/>
                <w:szCs w:val="16"/>
                <w:lang w:eastAsia="en-GB"/>
              </w:rPr>
              <w:t>Of the resolutions on which you voted, what % did you vote with management?</w:t>
            </w:r>
          </w:p>
        </w:tc>
        <w:tc>
          <w:tcPr>
            <w:tcW w:w="2976" w:type="dxa"/>
            <w:tcBorders>
              <w:top w:val="nil"/>
              <w:left w:val="nil"/>
              <w:bottom w:val="single" w:sz="4" w:space="0" w:color="auto"/>
              <w:right w:val="single" w:sz="4" w:space="0" w:color="auto"/>
            </w:tcBorders>
            <w:shd w:val="clear" w:color="000000" w:fill="F2F2F2"/>
            <w:vAlign w:val="bottom"/>
          </w:tcPr>
          <w:p w14:paraId="261A75D5" w14:textId="7CB2EE6C" w:rsidR="00BF3D14" w:rsidRPr="00BF3D14" w:rsidRDefault="00BF3D14" w:rsidP="00BF3D14">
            <w:pPr>
              <w:rPr>
                <w:rFonts w:cs="Calibri"/>
                <w:sz w:val="16"/>
                <w:szCs w:val="16"/>
                <w:lang w:eastAsia="en-GB"/>
              </w:rPr>
            </w:pPr>
            <w:r w:rsidRPr="00BF3D14">
              <w:rPr>
                <w:rFonts w:cs="Calibri"/>
                <w:color w:val="000000"/>
                <w:sz w:val="16"/>
                <w:szCs w:val="16"/>
              </w:rPr>
              <w:t>81.88%</w:t>
            </w:r>
          </w:p>
        </w:tc>
        <w:tc>
          <w:tcPr>
            <w:tcW w:w="2976" w:type="dxa"/>
            <w:tcBorders>
              <w:top w:val="nil"/>
              <w:left w:val="nil"/>
              <w:bottom w:val="single" w:sz="4" w:space="0" w:color="auto"/>
              <w:right w:val="single" w:sz="4" w:space="0" w:color="auto"/>
            </w:tcBorders>
            <w:shd w:val="clear" w:color="000000" w:fill="F2F2F2"/>
          </w:tcPr>
          <w:p w14:paraId="60274624" w14:textId="77777777" w:rsidR="00BF3D14" w:rsidRPr="00123C9E" w:rsidRDefault="00BF3D14" w:rsidP="00BF3D14">
            <w:pPr>
              <w:rPr>
                <w:sz w:val="16"/>
                <w:szCs w:val="16"/>
                <w:lang w:eastAsia="en-GB"/>
              </w:rPr>
            </w:pPr>
            <w:r w:rsidRPr="00123C9E">
              <w:rPr>
                <w:sz w:val="16"/>
                <w:szCs w:val="16"/>
              </w:rPr>
              <w:t>92.3%</w:t>
            </w:r>
          </w:p>
        </w:tc>
      </w:tr>
      <w:tr w:rsidR="00BF3D14" w:rsidRPr="00123C9E" w14:paraId="62F2D3F1" w14:textId="77777777" w:rsidTr="0091770A">
        <w:trPr>
          <w:trHeight w:val="560"/>
        </w:trPr>
        <w:tc>
          <w:tcPr>
            <w:tcW w:w="3828" w:type="dxa"/>
            <w:tcBorders>
              <w:top w:val="nil"/>
              <w:left w:val="single" w:sz="4" w:space="0" w:color="auto"/>
              <w:bottom w:val="single" w:sz="4" w:space="0" w:color="auto"/>
              <w:right w:val="single" w:sz="4" w:space="0" w:color="auto"/>
            </w:tcBorders>
            <w:shd w:val="clear" w:color="000000" w:fill="92D050"/>
            <w:hideMark/>
          </w:tcPr>
          <w:p w14:paraId="61039CF3" w14:textId="77777777" w:rsidR="00BF3D14" w:rsidRPr="00BF3D14" w:rsidRDefault="00BF3D14" w:rsidP="00BF3D14">
            <w:pPr>
              <w:rPr>
                <w:rFonts w:cs="Calibri"/>
                <w:sz w:val="16"/>
                <w:szCs w:val="16"/>
                <w:lang w:eastAsia="en-GB"/>
              </w:rPr>
            </w:pPr>
            <w:r w:rsidRPr="00BF3D14">
              <w:rPr>
                <w:rFonts w:cs="Calibri"/>
                <w:sz w:val="16"/>
                <w:szCs w:val="16"/>
                <w:lang w:eastAsia="en-GB"/>
              </w:rPr>
              <w:t>Of the resolutions on which you voted, what % did you vote against management?</w:t>
            </w:r>
          </w:p>
        </w:tc>
        <w:tc>
          <w:tcPr>
            <w:tcW w:w="2976" w:type="dxa"/>
            <w:tcBorders>
              <w:top w:val="nil"/>
              <w:left w:val="nil"/>
              <w:bottom w:val="single" w:sz="4" w:space="0" w:color="auto"/>
              <w:right w:val="single" w:sz="4" w:space="0" w:color="auto"/>
            </w:tcBorders>
            <w:shd w:val="clear" w:color="000000" w:fill="F2F2F2"/>
            <w:vAlign w:val="bottom"/>
          </w:tcPr>
          <w:p w14:paraId="62A90A7D" w14:textId="5ACE0EEC" w:rsidR="00BF3D14" w:rsidRPr="00BF3D14" w:rsidRDefault="00BF3D14" w:rsidP="00BF3D14">
            <w:pPr>
              <w:rPr>
                <w:rFonts w:cs="Calibri"/>
                <w:sz w:val="16"/>
                <w:szCs w:val="16"/>
                <w:lang w:eastAsia="en-GB"/>
              </w:rPr>
            </w:pPr>
            <w:r w:rsidRPr="00BF3D14">
              <w:rPr>
                <w:rFonts w:cs="Calibri"/>
                <w:color w:val="000000"/>
                <w:sz w:val="16"/>
                <w:szCs w:val="16"/>
              </w:rPr>
              <w:t>17.89%</w:t>
            </w:r>
          </w:p>
        </w:tc>
        <w:tc>
          <w:tcPr>
            <w:tcW w:w="2976" w:type="dxa"/>
            <w:tcBorders>
              <w:top w:val="nil"/>
              <w:left w:val="nil"/>
              <w:bottom w:val="single" w:sz="4" w:space="0" w:color="auto"/>
              <w:right w:val="single" w:sz="4" w:space="0" w:color="auto"/>
            </w:tcBorders>
            <w:shd w:val="clear" w:color="000000" w:fill="F2F2F2"/>
          </w:tcPr>
          <w:p w14:paraId="0A04530D" w14:textId="77777777" w:rsidR="00BF3D14" w:rsidRPr="00123C9E" w:rsidRDefault="00BF3D14" w:rsidP="00BF3D14">
            <w:pPr>
              <w:rPr>
                <w:sz w:val="16"/>
                <w:szCs w:val="16"/>
                <w:lang w:eastAsia="en-GB"/>
              </w:rPr>
            </w:pPr>
            <w:r w:rsidRPr="00123C9E">
              <w:rPr>
                <w:sz w:val="16"/>
                <w:szCs w:val="16"/>
              </w:rPr>
              <w:t>7.7%</w:t>
            </w:r>
          </w:p>
        </w:tc>
      </w:tr>
      <w:tr w:rsidR="00BF3D14" w:rsidRPr="00123C9E" w14:paraId="7589118B" w14:textId="77777777" w:rsidTr="0091770A">
        <w:trPr>
          <w:trHeight w:val="560"/>
        </w:trPr>
        <w:tc>
          <w:tcPr>
            <w:tcW w:w="3828" w:type="dxa"/>
            <w:tcBorders>
              <w:top w:val="nil"/>
              <w:left w:val="single" w:sz="4" w:space="0" w:color="auto"/>
              <w:bottom w:val="single" w:sz="4" w:space="0" w:color="auto"/>
              <w:right w:val="single" w:sz="4" w:space="0" w:color="auto"/>
            </w:tcBorders>
            <w:shd w:val="clear" w:color="000000" w:fill="92D050"/>
            <w:hideMark/>
          </w:tcPr>
          <w:p w14:paraId="18B9A390" w14:textId="77777777" w:rsidR="00BF3D14" w:rsidRPr="00BF3D14" w:rsidRDefault="00BF3D14" w:rsidP="00BF3D14">
            <w:pPr>
              <w:rPr>
                <w:rFonts w:cs="Calibri"/>
                <w:sz w:val="16"/>
                <w:szCs w:val="16"/>
                <w:lang w:eastAsia="en-GB"/>
              </w:rPr>
            </w:pPr>
            <w:r w:rsidRPr="00BF3D14">
              <w:rPr>
                <w:rFonts w:cs="Calibri"/>
                <w:sz w:val="16"/>
                <w:szCs w:val="16"/>
                <w:lang w:eastAsia="en-GB"/>
              </w:rPr>
              <w:t>Of the resolutions on which you voted, what % did you abstain from?</w:t>
            </w:r>
          </w:p>
        </w:tc>
        <w:tc>
          <w:tcPr>
            <w:tcW w:w="2976" w:type="dxa"/>
            <w:tcBorders>
              <w:top w:val="nil"/>
              <w:left w:val="nil"/>
              <w:bottom w:val="single" w:sz="4" w:space="0" w:color="auto"/>
              <w:right w:val="single" w:sz="4" w:space="0" w:color="auto"/>
            </w:tcBorders>
            <w:shd w:val="clear" w:color="000000" w:fill="F2F2F2"/>
            <w:vAlign w:val="bottom"/>
          </w:tcPr>
          <w:p w14:paraId="24C48B14" w14:textId="04FDAEE7" w:rsidR="00BF3D14" w:rsidRPr="00BF3D14" w:rsidRDefault="00BF3D14" w:rsidP="00BF3D14">
            <w:pPr>
              <w:rPr>
                <w:rFonts w:cs="Calibri"/>
                <w:sz w:val="16"/>
                <w:szCs w:val="16"/>
                <w:lang w:eastAsia="en-GB"/>
              </w:rPr>
            </w:pPr>
            <w:r w:rsidRPr="00BF3D14">
              <w:rPr>
                <w:rFonts w:cs="Calibri"/>
                <w:color w:val="000000"/>
                <w:sz w:val="16"/>
                <w:szCs w:val="16"/>
              </w:rPr>
              <w:t>0.23%</w:t>
            </w:r>
          </w:p>
        </w:tc>
        <w:tc>
          <w:tcPr>
            <w:tcW w:w="2976" w:type="dxa"/>
            <w:tcBorders>
              <w:top w:val="nil"/>
              <w:left w:val="nil"/>
              <w:bottom w:val="single" w:sz="4" w:space="0" w:color="auto"/>
              <w:right w:val="single" w:sz="4" w:space="0" w:color="auto"/>
            </w:tcBorders>
            <w:shd w:val="clear" w:color="000000" w:fill="F2F2F2"/>
          </w:tcPr>
          <w:p w14:paraId="231847D9" w14:textId="77777777" w:rsidR="00BF3D14" w:rsidRPr="00123C9E" w:rsidRDefault="00BF3D14" w:rsidP="00BF3D14">
            <w:pPr>
              <w:rPr>
                <w:sz w:val="16"/>
                <w:szCs w:val="16"/>
                <w:lang w:eastAsia="en-GB"/>
              </w:rPr>
            </w:pPr>
            <w:r w:rsidRPr="00123C9E">
              <w:rPr>
                <w:sz w:val="16"/>
                <w:szCs w:val="16"/>
              </w:rPr>
              <w:t>0%</w:t>
            </w:r>
          </w:p>
        </w:tc>
      </w:tr>
      <w:tr w:rsidR="00D170C3" w:rsidRPr="00123C9E" w14:paraId="1A44A34E" w14:textId="77777777" w:rsidTr="00FD3336">
        <w:trPr>
          <w:trHeight w:val="560"/>
        </w:trPr>
        <w:tc>
          <w:tcPr>
            <w:tcW w:w="3828" w:type="dxa"/>
            <w:tcBorders>
              <w:top w:val="nil"/>
              <w:left w:val="single" w:sz="4" w:space="0" w:color="auto"/>
              <w:bottom w:val="single" w:sz="4" w:space="0" w:color="auto"/>
              <w:right w:val="single" w:sz="4" w:space="0" w:color="auto"/>
            </w:tcBorders>
            <w:shd w:val="clear" w:color="000000" w:fill="92D050"/>
          </w:tcPr>
          <w:p w14:paraId="2672E6CD" w14:textId="77777777" w:rsidR="00D170C3" w:rsidRPr="00BF3D14" w:rsidRDefault="00D170C3" w:rsidP="00FD3336">
            <w:pPr>
              <w:rPr>
                <w:rFonts w:cs="Calibri"/>
                <w:sz w:val="16"/>
                <w:szCs w:val="16"/>
                <w:lang w:eastAsia="en-GB"/>
              </w:rPr>
            </w:pPr>
            <w:r w:rsidRPr="00BF3D14">
              <w:rPr>
                <w:rFonts w:cs="Calibri"/>
                <w:sz w:val="16"/>
                <w:szCs w:val="16"/>
                <w:lang w:eastAsia="en-GB"/>
              </w:rPr>
              <w:t>In what % of meetings, for which you did vote, did you vote at least once against management?</w:t>
            </w:r>
          </w:p>
        </w:tc>
        <w:tc>
          <w:tcPr>
            <w:tcW w:w="2976" w:type="dxa"/>
            <w:tcBorders>
              <w:top w:val="nil"/>
              <w:left w:val="nil"/>
              <w:bottom w:val="single" w:sz="4" w:space="0" w:color="auto"/>
              <w:right w:val="single" w:sz="4" w:space="0" w:color="auto"/>
            </w:tcBorders>
            <w:shd w:val="clear" w:color="000000" w:fill="F2F2F2"/>
          </w:tcPr>
          <w:p w14:paraId="210D1021" w14:textId="2EDD9D14" w:rsidR="00D170C3" w:rsidRPr="00BF3D14" w:rsidRDefault="00BF3D14" w:rsidP="00FD3336">
            <w:pPr>
              <w:rPr>
                <w:rFonts w:cs="Calibri"/>
                <w:sz w:val="16"/>
                <w:szCs w:val="16"/>
                <w:lang w:eastAsia="en-GB"/>
              </w:rPr>
            </w:pPr>
            <w:r w:rsidRPr="00BF3D14">
              <w:rPr>
                <w:rFonts w:cs="Calibri"/>
                <w:sz w:val="16"/>
                <w:szCs w:val="16"/>
                <w:lang w:eastAsia="en-GB"/>
              </w:rPr>
              <w:t>65.54%</w:t>
            </w:r>
          </w:p>
        </w:tc>
        <w:tc>
          <w:tcPr>
            <w:tcW w:w="2976" w:type="dxa"/>
            <w:tcBorders>
              <w:top w:val="nil"/>
              <w:left w:val="nil"/>
              <w:bottom w:val="single" w:sz="4" w:space="0" w:color="auto"/>
              <w:right w:val="single" w:sz="4" w:space="0" w:color="auto"/>
            </w:tcBorders>
            <w:shd w:val="clear" w:color="000000" w:fill="F2F2F2"/>
          </w:tcPr>
          <w:p w14:paraId="0D308AAC" w14:textId="77777777" w:rsidR="00D170C3" w:rsidRPr="00123C9E" w:rsidRDefault="00D170C3" w:rsidP="00FD3336">
            <w:pPr>
              <w:rPr>
                <w:sz w:val="16"/>
                <w:szCs w:val="16"/>
                <w:lang w:eastAsia="en-GB"/>
              </w:rPr>
            </w:pPr>
            <w:r w:rsidRPr="00123C9E">
              <w:rPr>
                <w:sz w:val="16"/>
                <w:szCs w:val="16"/>
              </w:rPr>
              <w:t>42%</w:t>
            </w:r>
          </w:p>
        </w:tc>
      </w:tr>
      <w:tr w:rsidR="00D170C3" w:rsidRPr="00123C9E" w14:paraId="27FDB268" w14:textId="77777777" w:rsidTr="00FD3336">
        <w:trPr>
          <w:trHeight w:val="560"/>
        </w:trPr>
        <w:tc>
          <w:tcPr>
            <w:tcW w:w="3828" w:type="dxa"/>
            <w:tcBorders>
              <w:top w:val="nil"/>
              <w:left w:val="single" w:sz="4" w:space="0" w:color="auto"/>
              <w:bottom w:val="single" w:sz="4" w:space="0" w:color="auto"/>
              <w:right w:val="single" w:sz="4" w:space="0" w:color="auto"/>
            </w:tcBorders>
            <w:shd w:val="clear" w:color="000000" w:fill="92D050"/>
          </w:tcPr>
          <w:p w14:paraId="5639B15D" w14:textId="77777777" w:rsidR="00D170C3" w:rsidRPr="00BF3D14" w:rsidRDefault="00D170C3" w:rsidP="00FD3336">
            <w:pPr>
              <w:rPr>
                <w:rFonts w:cs="Calibri"/>
                <w:sz w:val="16"/>
                <w:szCs w:val="16"/>
              </w:rPr>
            </w:pPr>
            <w:r w:rsidRPr="00BF3D14">
              <w:rPr>
                <w:rFonts w:cs="Calibri"/>
                <w:sz w:val="16"/>
                <w:szCs w:val="16"/>
              </w:rPr>
              <w:t>Which proxy advisory services does your firm use, and do you use their standard voting policy or created your own bespoke policy which they then implemented on your behalf?</w:t>
            </w:r>
          </w:p>
        </w:tc>
        <w:tc>
          <w:tcPr>
            <w:tcW w:w="2976" w:type="dxa"/>
            <w:tcBorders>
              <w:top w:val="nil"/>
              <w:left w:val="nil"/>
              <w:bottom w:val="single" w:sz="4" w:space="0" w:color="auto"/>
              <w:right w:val="single" w:sz="4" w:space="0" w:color="auto"/>
            </w:tcBorders>
            <w:shd w:val="clear" w:color="000000" w:fill="F2F2F2"/>
          </w:tcPr>
          <w:p w14:paraId="7E56284E" w14:textId="7CF4B482" w:rsidR="00D170C3" w:rsidRPr="00BF3D14" w:rsidRDefault="0073093D" w:rsidP="00FD3336">
            <w:pPr>
              <w:rPr>
                <w:rFonts w:cs="Calibri"/>
                <w:sz w:val="16"/>
                <w:szCs w:val="16"/>
              </w:rPr>
            </w:pPr>
            <w:r>
              <w:rPr>
                <w:rFonts w:cs="Calibri"/>
                <w:sz w:val="16"/>
                <w:szCs w:val="16"/>
              </w:rPr>
              <w:t>L&amp;G</w:t>
            </w:r>
            <w:r w:rsidR="00BF3D14" w:rsidRPr="00BF3D14">
              <w:rPr>
                <w:rFonts w:cs="Calibri"/>
                <w:sz w:val="16"/>
                <w:szCs w:val="16"/>
              </w:rPr>
              <w:t>’s Investment Stewardship team uses ISS’s ‘</w:t>
            </w:r>
            <w:proofErr w:type="spellStart"/>
            <w:r w:rsidR="00BF3D14" w:rsidRPr="00BF3D14">
              <w:rPr>
                <w:rFonts w:cs="Calibri"/>
                <w:sz w:val="16"/>
                <w:szCs w:val="16"/>
              </w:rPr>
              <w:t>ProxyExchange</w:t>
            </w:r>
            <w:proofErr w:type="spellEnd"/>
            <w:r w:rsidR="00BF3D14" w:rsidRPr="00BF3D14">
              <w:rPr>
                <w:rFonts w:cs="Calibri"/>
                <w:sz w:val="16"/>
                <w:szCs w:val="16"/>
              </w:rPr>
              <w:t xml:space="preserve">’ electronic voting platform to electronically vote clients’ shares. All voting decisions are made by </w:t>
            </w:r>
            <w:r>
              <w:rPr>
                <w:rFonts w:cs="Calibri"/>
                <w:sz w:val="16"/>
                <w:szCs w:val="16"/>
              </w:rPr>
              <w:t>L&amp;</w:t>
            </w:r>
            <w:proofErr w:type="gramStart"/>
            <w:r>
              <w:rPr>
                <w:rFonts w:cs="Calibri"/>
                <w:sz w:val="16"/>
                <w:szCs w:val="16"/>
              </w:rPr>
              <w:t>G</w:t>
            </w:r>
            <w:proofErr w:type="gramEnd"/>
            <w:r w:rsidR="00BF3D14" w:rsidRPr="00BF3D14">
              <w:rPr>
                <w:rFonts w:cs="Calibri"/>
                <w:sz w:val="16"/>
                <w:szCs w:val="16"/>
              </w:rPr>
              <w:t xml:space="preserve"> and we do not outsource any part of the strategic decisions. To ensure our proxy provider votes in accordance with our position on ESG, we have put in place a custom voting policy with specific voting instructions. For more details, please refer to the Voting Policies section of this document.</w:t>
            </w:r>
          </w:p>
        </w:tc>
        <w:tc>
          <w:tcPr>
            <w:tcW w:w="2976" w:type="dxa"/>
            <w:tcBorders>
              <w:top w:val="nil"/>
              <w:left w:val="nil"/>
              <w:bottom w:val="single" w:sz="4" w:space="0" w:color="auto"/>
              <w:right w:val="single" w:sz="4" w:space="0" w:color="auto"/>
            </w:tcBorders>
            <w:shd w:val="clear" w:color="000000" w:fill="F2F2F2"/>
          </w:tcPr>
          <w:p w14:paraId="4A552B47" w14:textId="77777777" w:rsidR="00D170C3" w:rsidRPr="00123C9E" w:rsidRDefault="00D170C3" w:rsidP="00FD3336">
            <w:pPr>
              <w:rPr>
                <w:rFonts w:cs="Calibri"/>
                <w:sz w:val="16"/>
                <w:szCs w:val="16"/>
              </w:rPr>
            </w:pPr>
            <w:r w:rsidRPr="00123C9E">
              <w:rPr>
                <w:rFonts w:cs="Calibri"/>
                <w:sz w:val="16"/>
                <w:szCs w:val="16"/>
              </w:rPr>
              <w:t xml:space="preserve">Newton utilises an independent voting service provider for the purposes of managing upcoming meetings and instructing voting decisions via its electronic platform, and for providing research.  Its voting recommendations of are not routinely followed; it is only </w:t>
            </w:r>
            <w:proofErr w:type="gramStart"/>
            <w:r w:rsidRPr="00123C9E">
              <w:rPr>
                <w:rFonts w:cs="Calibri"/>
                <w:sz w:val="16"/>
                <w:szCs w:val="16"/>
              </w:rPr>
              <w:t>in the event that</w:t>
            </w:r>
            <w:proofErr w:type="gramEnd"/>
            <w:r w:rsidRPr="00123C9E">
              <w:rPr>
                <w:rFonts w:cs="Calibri"/>
                <w:sz w:val="16"/>
                <w:szCs w:val="16"/>
              </w:rPr>
              <w:t xml:space="preserve"> we recognise a potential material conflict of interest as described above that the recommendation of our external voting service provider will be applied. </w:t>
            </w:r>
          </w:p>
          <w:p w14:paraId="406A0EB2" w14:textId="77777777" w:rsidR="00D170C3" w:rsidRPr="00123C9E" w:rsidRDefault="00D170C3" w:rsidP="00FD3336">
            <w:pPr>
              <w:rPr>
                <w:rFonts w:cs="Calibri"/>
                <w:sz w:val="16"/>
                <w:szCs w:val="16"/>
              </w:rPr>
            </w:pPr>
          </w:p>
          <w:p w14:paraId="3FC29C94" w14:textId="77777777" w:rsidR="00D170C3" w:rsidRPr="00123C9E" w:rsidRDefault="00D170C3" w:rsidP="00FD3336">
            <w:pPr>
              <w:rPr>
                <w:rFonts w:cs="Calibri"/>
                <w:sz w:val="16"/>
                <w:szCs w:val="16"/>
              </w:rPr>
            </w:pPr>
            <w:r w:rsidRPr="00123C9E">
              <w:rPr>
                <w:rFonts w:cs="Calibri"/>
                <w:sz w:val="16"/>
                <w:szCs w:val="16"/>
              </w:rPr>
              <w:t>We do not maintain a voting policy with ISS. We apply our own Newton voting guidelines.</w:t>
            </w:r>
          </w:p>
        </w:tc>
      </w:tr>
      <w:tr w:rsidR="00D170C3" w:rsidRPr="00123C9E" w14:paraId="3889D756" w14:textId="77777777" w:rsidTr="00FD3336">
        <w:trPr>
          <w:trHeight w:val="560"/>
        </w:trPr>
        <w:tc>
          <w:tcPr>
            <w:tcW w:w="3828" w:type="dxa"/>
            <w:tcBorders>
              <w:top w:val="nil"/>
              <w:left w:val="single" w:sz="4" w:space="0" w:color="auto"/>
              <w:bottom w:val="single" w:sz="4" w:space="0" w:color="auto"/>
              <w:right w:val="single" w:sz="4" w:space="0" w:color="auto"/>
            </w:tcBorders>
            <w:shd w:val="clear" w:color="000000" w:fill="92D050"/>
            <w:vAlign w:val="bottom"/>
          </w:tcPr>
          <w:p w14:paraId="4AB2150D" w14:textId="77777777" w:rsidR="00D170C3" w:rsidRPr="00BF3D14" w:rsidRDefault="00D170C3" w:rsidP="00FD3336">
            <w:pPr>
              <w:rPr>
                <w:rFonts w:eastAsia="Times New Roman" w:cs="Calibri"/>
                <w:color w:val="000000"/>
                <w:sz w:val="16"/>
                <w:szCs w:val="16"/>
                <w:lang w:eastAsia="en-GB"/>
              </w:rPr>
            </w:pPr>
            <w:r w:rsidRPr="00BF3D14">
              <w:rPr>
                <w:rFonts w:eastAsia="Times New Roman" w:cs="Calibri"/>
                <w:color w:val="000000"/>
                <w:sz w:val="16"/>
                <w:szCs w:val="16"/>
                <w:lang w:eastAsia="en-GB"/>
              </w:rPr>
              <w:t>What % of resolutions, on which you did vote, did you vote contrary to the recommendation of your proxy adviser? (if applicable)</w:t>
            </w:r>
          </w:p>
        </w:tc>
        <w:tc>
          <w:tcPr>
            <w:tcW w:w="2976" w:type="dxa"/>
            <w:tcBorders>
              <w:top w:val="nil"/>
              <w:left w:val="nil"/>
              <w:bottom w:val="single" w:sz="4" w:space="0" w:color="auto"/>
              <w:right w:val="single" w:sz="4" w:space="0" w:color="auto"/>
            </w:tcBorders>
            <w:shd w:val="clear" w:color="000000" w:fill="F2F2F2"/>
          </w:tcPr>
          <w:p w14:paraId="2CDE6253" w14:textId="7AAE86A9" w:rsidR="00D170C3" w:rsidRPr="00BF3D14" w:rsidRDefault="00BF3D14" w:rsidP="00FD3336">
            <w:pPr>
              <w:rPr>
                <w:rFonts w:eastAsia="Times New Roman" w:cs="Calibri"/>
                <w:color w:val="000000"/>
                <w:sz w:val="16"/>
                <w:szCs w:val="16"/>
                <w:lang w:eastAsia="en-GB"/>
              </w:rPr>
            </w:pPr>
            <w:r w:rsidRPr="00BF3D14">
              <w:rPr>
                <w:rFonts w:eastAsia="Times New Roman" w:cs="Calibri"/>
                <w:color w:val="000000"/>
                <w:sz w:val="16"/>
                <w:szCs w:val="16"/>
                <w:lang w:eastAsia="en-GB"/>
              </w:rPr>
              <w:t>13.51%</w:t>
            </w:r>
          </w:p>
        </w:tc>
        <w:tc>
          <w:tcPr>
            <w:tcW w:w="2976" w:type="dxa"/>
            <w:tcBorders>
              <w:top w:val="nil"/>
              <w:left w:val="nil"/>
              <w:bottom w:val="single" w:sz="4" w:space="0" w:color="auto"/>
              <w:right w:val="single" w:sz="4" w:space="0" w:color="auto"/>
            </w:tcBorders>
            <w:shd w:val="clear" w:color="000000" w:fill="F2F2F2"/>
          </w:tcPr>
          <w:p w14:paraId="6A6ED262" w14:textId="77777777" w:rsidR="00D170C3" w:rsidRPr="00123C9E" w:rsidRDefault="00D170C3" w:rsidP="00FD3336">
            <w:pPr>
              <w:rPr>
                <w:rFonts w:eastAsia="Times New Roman" w:cs="Calibri"/>
                <w:color w:val="000000"/>
                <w:sz w:val="16"/>
                <w:szCs w:val="16"/>
                <w:lang w:eastAsia="en-GB"/>
              </w:rPr>
            </w:pPr>
            <w:r w:rsidRPr="00123C9E">
              <w:rPr>
                <w:rFonts w:eastAsia="Times New Roman" w:cs="Calibri"/>
                <w:color w:val="000000"/>
                <w:sz w:val="16"/>
                <w:szCs w:val="16"/>
                <w:lang w:eastAsia="en-GB"/>
              </w:rPr>
              <w:t>6%</w:t>
            </w:r>
          </w:p>
        </w:tc>
      </w:tr>
    </w:tbl>
    <w:p w14:paraId="1B16E100" w14:textId="77777777" w:rsidR="00D170C3" w:rsidRPr="00123C9E" w:rsidRDefault="00D170C3" w:rsidP="00D170C3">
      <w:pPr>
        <w:pStyle w:val="Default"/>
        <w:rPr>
          <w:b/>
          <w:bCs/>
          <w:color w:val="186B23"/>
          <w:sz w:val="16"/>
          <w:szCs w:val="16"/>
        </w:rPr>
      </w:pPr>
    </w:p>
    <w:p w14:paraId="57C27FE9" w14:textId="77777777" w:rsidR="00D170C3" w:rsidRPr="00123C9E" w:rsidRDefault="00D170C3" w:rsidP="00D170C3">
      <w:pPr>
        <w:rPr>
          <w:rFonts w:cs="Calibri"/>
          <w:sz w:val="16"/>
          <w:szCs w:val="16"/>
        </w:rPr>
      </w:pPr>
    </w:p>
    <w:p w14:paraId="7167669C" w14:textId="77777777" w:rsidR="00D170C3" w:rsidRPr="00D170C3" w:rsidRDefault="00D170C3" w:rsidP="002930E3">
      <w:pPr>
        <w:rPr>
          <w:sz w:val="22"/>
          <w:szCs w:val="22"/>
        </w:rPr>
      </w:pPr>
    </w:p>
    <w:p w14:paraId="5D6F664A" w14:textId="77777777" w:rsidR="00D012D9" w:rsidRPr="00D170C3" w:rsidRDefault="00D012D9" w:rsidP="002930E3">
      <w:pPr>
        <w:rPr>
          <w:sz w:val="22"/>
          <w:szCs w:val="22"/>
        </w:rPr>
      </w:pPr>
    </w:p>
    <w:p w14:paraId="19486B01" w14:textId="77777777" w:rsidR="00D012D9" w:rsidRPr="00D170C3" w:rsidRDefault="00D012D9" w:rsidP="00D012D9">
      <w:pPr>
        <w:pStyle w:val="Default"/>
        <w:rPr>
          <w:b/>
          <w:bCs/>
          <w:sz w:val="22"/>
          <w:szCs w:val="22"/>
        </w:rPr>
      </w:pPr>
      <w:r w:rsidRPr="00D170C3">
        <w:rPr>
          <w:b/>
          <w:bCs/>
          <w:sz w:val="22"/>
          <w:szCs w:val="22"/>
        </w:rPr>
        <w:t>4. Fixed income</w:t>
      </w:r>
    </w:p>
    <w:p w14:paraId="4FF3D1F5" w14:textId="77777777" w:rsidR="00D170C3" w:rsidRDefault="00D170C3" w:rsidP="00D170C3">
      <w:pPr>
        <w:pStyle w:val="Default"/>
        <w:rPr>
          <w:b/>
          <w:bCs/>
          <w:color w:val="000000" w:themeColor="text1"/>
          <w:sz w:val="22"/>
          <w:szCs w:val="22"/>
        </w:rPr>
      </w:pPr>
    </w:p>
    <w:p w14:paraId="679F3644" w14:textId="620E0C1E" w:rsidR="00D170C3" w:rsidRPr="00D170C3" w:rsidRDefault="00D170C3" w:rsidP="00D170C3">
      <w:pPr>
        <w:pStyle w:val="Default"/>
        <w:rPr>
          <w:color w:val="000000" w:themeColor="text1"/>
          <w:sz w:val="22"/>
          <w:szCs w:val="22"/>
        </w:rPr>
      </w:pPr>
      <w:r w:rsidRPr="00D170C3">
        <w:rPr>
          <w:b/>
          <w:bCs/>
          <w:color w:val="000000" w:themeColor="text1"/>
          <w:sz w:val="22"/>
          <w:szCs w:val="22"/>
        </w:rPr>
        <w:t xml:space="preserve">4.1 L&amp;G High yield bond fund </w:t>
      </w:r>
    </w:p>
    <w:p w14:paraId="67758005" w14:textId="6EF95ADE" w:rsidR="00D170C3" w:rsidRPr="00D170C3" w:rsidRDefault="00D170C3" w:rsidP="00D170C3">
      <w:pPr>
        <w:rPr>
          <w:rFonts w:cs="Calibri"/>
          <w:color w:val="333333"/>
          <w:sz w:val="22"/>
          <w:szCs w:val="22"/>
        </w:rPr>
      </w:pPr>
      <w:r>
        <w:rPr>
          <w:rFonts w:cs="Calibri"/>
          <w:color w:val="333333"/>
          <w:sz w:val="22"/>
          <w:szCs w:val="22"/>
        </w:rPr>
        <w:t xml:space="preserve">For five years in succession the Trustee had raised with </w:t>
      </w:r>
      <w:r w:rsidR="0073093D">
        <w:rPr>
          <w:rFonts w:cs="Calibri"/>
          <w:color w:val="333333"/>
          <w:sz w:val="22"/>
          <w:szCs w:val="22"/>
        </w:rPr>
        <w:t>L&amp;G</w:t>
      </w:r>
      <w:r>
        <w:rPr>
          <w:rFonts w:cs="Calibri"/>
          <w:color w:val="333333"/>
          <w:sz w:val="22"/>
          <w:szCs w:val="22"/>
        </w:rPr>
        <w:t xml:space="preserve"> the inclusion of Petroleos Mexicanos in the fund. </w:t>
      </w:r>
      <w:r w:rsidRPr="00D170C3">
        <w:rPr>
          <w:rFonts w:cs="Calibri"/>
          <w:color w:val="000000" w:themeColor="text1"/>
          <w:sz w:val="22"/>
          <w:szCs w:val="22"/>
        </w:rPr>
        <w:t xml:space="preserve">The key concern of pension schemes is </w:t>
      </w:r>
      <w:proofErr w:type="gramStart"/>
      <w:r w:rsidRPr="00D170C3">
        <w:rPr>
          <w:rFonts w:cs="Calibri"/>
          <w:color w:val="000000" w:themeColor="text1"/>
          <w:sz w:val="22"/>
          <w:szCs w:val="22"/>
        </w:rPr>
        <w:t>risk</w:t>
      </w:r>
      <w:proofErr w:type="gramEnd"/>
      <w:r w:rsidRPr="00D170C3">
        <w:rPr>
          <w:rFonts w:cs="Calibri"/>
          <w:color w:val="000000" w:themeColor="text1"/>
          <w:sz w:val="22"/>
          <w:szCs w:val="22"/>
        </w:rPr>
        <w:t xml:space="preserve"> and </w:t>
      </w:r>
      <w:r>
        <w:rPr>
          <w:rFonts w:cs="Calibri"/>
          <w:color w:val="000000" w:themeColor="text1"/>
          <w:sz w:val="22"/>
          <w:szCs w:val="22"/>
        </w:rPr>
        <w:t>the Trustee</w:t>
      </w:r>
      <w:r w:rsidRPr="00D170C3">
        <w:rPr>
          <w:rFonts w:cs="Calibri"/>
          <w:color w:val="000000" w:themeColor="text1"/>
          <w:sz w:val="22"/>
          <w:szCs w:val="22"/>
        </w:rPr>
        <w:t xml:space="preserve"> </w:t>
      </w:r>
      <w:r>
        <w:rPr>
          <w:rFonts w:cs="Calibri"/>
          <w:color w:val="000000" w:themeColor="text1"/>
          <w:sz w:val="22"/>
          <w:szCs w:val="22"/>
        </w:rPr>
        <w:t>was</w:t>
      </w:r>
      <w:r w:rsidRPr="00D170C3">
        <w:rPr>
          <w:rFonts w:cs="Calibri"/>
          <w:color w:val="000000" w:themeColor="text1"/>
          <w:sz w:val="22"/>
          <w:szCs w:val="22"/>
        </w:rPr>
        <w:t xml:space="preserve"> concerned about the risk factors associated with Pemex. </w:t>
      </w:r>
      <w:r>
        <w:rPr>
          <w:rFonts w:cs="Calibri"/>
          <w:color w:val="000000" w:themeColor="text1"/>
          <w:sz w:val="22"/>
          <w:szCs w:val="22"/>
        </w:rPr>
        <w:t>The Trustee</w:t>
      </w:r>
      <w:r w:rsidRPr="00D170C3">
        <w:rPr>
          <w:rFonts w:cs="Calibri"/>
          <w:color w:val="000000" w:themeColor="text1"/>
          <w:sz w:val="22"/>
          <w:szCs w:val="22"/>
        </w:rPr>
        <w:t xml:space="preserve"> note</w:t>
      </w:r>
      <w:r>
        <w:rPr>
          <w:rFonts w:cs="Calibri"/>
          <w:color w:val="000000" w:themeColor="text1"/>
          <w:sz w:val="22"/>
          <w:szCs w:val="22"/>
        </w:rPr>
        <w:t>d</w:t>
      </w:r>
      <w:r w:rsidRPr="00D170C3">
        <w:rPr>
          <w:rFonts w:cs="Calibri"/>
          <w:color w:val="000000" w:themeColor="text1"/>
          <w:sz w:val="22"/>
          <w:szCs w:val="22"/>
        </w:rPr>
        <w:t xml:space="preserve"> that Sustainalytics has given Pemex an ESG risk rating of "57.8 - severe", which ranked it 274th out of 302 oil and gas producers (with 1 as the lowest risk) and that Pemex features on </w:t>
      </w:r>
      <w:r w:rsidR="00E3205F">
        <w:rPr>
          <w:rFonts w:cs="Calibri"/>
          <w:color w:val="000000" w:themeColor="text1"/>
          <w:sz w:val="22"/>
          <w:szCs w:val="22"/>
        </w:rPr>
        <w:t>L&amp;G's</w:t>
      </w:r>
      <w:r w:rsidR="00E3205F" w:rsidRPr="00D170C3">
        <w:rPr>
          <w:rFonts w:cs="Calibri"/>
          <w:color w:val="000000" w:themeColor="text1"/>
          <w:sz w:val="22"/>
          <w:szCs w:val="22"/>
        </w:rPr>
        <w:t xml:space="preserve"> </w:t>
      </w:r>
      <w:r w:rsidRPr="00D170C3">
        <w:rPr>
          <w:rFonts w:cs="Calibri"/>
          <w:color w:val="000000" w:themeColor="text1"/>
          <w:sz w:val="22"/>
          <w:szCs w:val="22"/>
        </w:rPr>
        <w:t xml:space="preserve">Future World Protection List for breaches of the UN Global Compact.  </w:t>
      </w:r>
    </w:p>
    <w:p w14:paraId="21BD2233" w14:textId="77777777" w:rsidR="00D170C3" w:rsidRPr="00D170C3" w:rsidRDefault="00D170C3" w:rsidP="00D170C3">
      <w:pPr>
        <w:rPr>
          <w:rFonts w:cs="Calibri"/>
          <w:color w:val="000000" w:themeColor="text1"/>
          <w:sz w:val="22"/>
          <w:szCs w:val="22"/>
        </w:rPr>
      </w:pPr>
    </w:p>
    <w:p w14:paraId="6FD5C4F5" w14:textId="52317012" w:rsidR="00D170C3" w:rsidRPr="00D170C3" w:rsidRDefault="00D170C3" w:rsidP="00D170C3">
      <w:pPr>
        <w:rPr>
          <w:rFonts w:cs="Calibri"/>
          <w:sz w:val="22"/>
          <w:szCs w:val="22"/>
        </w:rPr>
      </w:pPr>
      <w:r w:rsidRPr="00D170C3">
        <w:rPr>
          <w:rFonts w:cs="Calibri"/>
          <w:color w:val="000000" w:themeColor="text1"/>
          <w:sz w:val="22"/>
          <w:szCs w:val="22"/>
        </w:rPr>
        <w:t xml:space="preserve">In Pemex's business plan for 2023-27, as </w:t>
      </w:r>
      <w:r>
        <w:rPr>
          <w:rFonts w:cs="Calibri"/>
          <w:color w:val="000000" w:themeColor="text1"/>
          <w:sz w:val="22"/>
          <w:szCs w:val="22"/>
        </w:rPr>
        <w:t>the Trustee had</w:t>
      </w:r>
      <w:r w:rsidRPr="00D170C3">
        <w:rPr>
          <w:rFonts w:cs="Calibri"/>
          <w:color w:val="000000" w:themeColor="text1"/>
          <w:sz w:val="22"/>
          <w:szCs w:val="22"/>
        </w:rPr>
        <w:t xml:space="preserve"> earlier indicated, </w:t>
      </w:r>
      <w:r w:rsidRPr="00D170C3">
        <w:rPr>
          <w:rFonts w:cs="Calibri"/>
          <w:sz w:val="22"/>
          <w:szCs w:val="22"/>
        </w:rPr>
        <w:t>it states that its 'upstream' focus "remains on the areas with the greatest productive and economic potential and taking advantage of the experience and skills of their technical staff. The strategy prioritises exploration in onshore areas and shallow waters, while continuing to the accelerated development of new fields and optimising exploitation. The execution of these strategies will allow Pemex to incorporate and recategorize reserves, mitigate the decline and maximise the recovery of hydrocarbons.</w:t>
      </w:r>
    </w:p>
    <w:p w14:paraId="76F1E150" w14:textId="77777777" w:rsidR="00D170C3" w:rsidRPr="00760B2A" w:rsidRDefault="00D170C3" w:rsidP="00D170C3">
      <w:pPr>
        <w:rPr>
          <w:rFonts w:cs="Calibri"/>
          <w:color w:val="000000" w:themeColor="text1"/>
          <w:sz w:val="22"/>
          <w:szCs w:val="22"/>
        </w:rPr>
      </w:pPr>
    </w:p>
    <w:p w14:paraId="385DB313" w14:textId="77777777" w:rsidR="00D170C3" w:rsidRDefault="00D170C3" w:rsidP="00D170C3">
      <w:pPr>
        <w:rPr>
          <w:rFonts w:cs="Calibri"/>
          <w:sz w:val="22"/>
          <w:szCs w:val="22"/>
        </w:rPr>
      </w:pPr>
      <w:r w:rsidRPr="00760B2A">
        <w:rPr>
          <w:rFonts w:cs="Calibri"/>
          <w:sz w:val="22"/>
          <w:szCs w:val="22"/>
        </w:rPr>
        <w:t>"To support the long</w:t>
      </w:r>
      <w:r>
        <w:rPr>
          <w:rFonts w:cs="Calibri"/>
          <w:sz w:val="22"/>
          <w:szCs w:val="22"/>
        </w:rPr>
        <w:t>-</w:t>
      </w:r>
      <w:r w:rsidRPr="00760B2A">
        <w:rPr>
          <w:rFonts w:cs="Calibri"/>
          <w:sz w:val="22"/>
          <w:szCs w:val="22"/>
        </w:rPr>
        <w:t>term vision, the strategy focuses on exploratory opportunities, evaluating oil potential to incorporate prospective resources and strengthen the exploration portfolio."</w:t>
      </w:r>
    </w:p>
    <w:p w14:paraId="59A7F43D" w14:textId="77777777" w:rsidR="00D170C3" w:rsidRDefault="00D170C3" w:rsidP="00D170C3">
      <w:pPr>
        <w:rPr>
          <w:rFonts w:cs="Calibri"/>
          <w:sz w:val="22"/>
          <w:szCs w:val="22"/>
        </w:rPr>
      </w:pPr>
    </w:p>
    <w:p w14:paraId="113B555B" w14:textId="116B73E9" w:rsidR="00D170C3" w:rsidRPr="00D170C3" w:rsidRDefault="00D170C3" w:rsidP="00D170C3">
      <w:pPr>
        <w:rPr>
          <w:rFonts w:cs="Calibri"/>
          <w:sz w:val="22"/>
          <w:szCs w:val="22"/>
        </w:rPr>
      </w:pPr>
      <w:r>
        <w:rPr>
          <w:rFonts w:cs="Calibri"/>
          <w:sz w:val="22"/>
          <w:szCs w:val="22"/>
        </w:rPr>
        <w:t xml:space="preserve">The Trustee was therefore very pleased to note </w:t>
      </w:r>
      <w:r w:rsidRPr="00A10546">
        <w:rPr>
          <w:rFonts w:cs="Calibri"/>
          <w:sz w:val="22"/>
          <w:szCs w:val="22"/>
        </w:rPr>
        <w:t xml:space="preserve">that Pemex is no longer one of the top 10 issuers in </w:t>
      </w:r>
      <w:r>
        <w:rPr>
          <w:rFonts w:cs="Calibri"/>
          <w:sz w:val="22"/>
          <w:szCs w:val="22"/>
        </w:rPr>
        <w:t>the</w:t>
      </w:r>
      <w:r w:rsidRPr="00A10546">
        <w:rPr>
          <w:rFonts w:cs="Calibri"/>
          <w:sz w:val="22"/>
          <w:szCs w:val="22"/>
        </w:rPr>
        <w:t xml:space="preserve"> High Yield Bond Fund, though 13.5% of the fund is in energy</w:t>
      </w:r>
      <w:r>
        <w:rPr>
          <w:rFonts w:cs="Calibri"/>
          <w:sz w:val="22"/>
          <w:szCs w:val="22"/>
        </w:rPr>
        <w:t>, and asked whether</w:t>
      </w:r>
      <w:r w:rsidRPr="00A10546">
        <w:rPr>
          <w:rFonts w:cs="Calibri"/>
          <w:sz w:val="22"/>
          <w:szCs w:val="22"/>
        </w:rPr>
        <w:t xml:space="preserve"> Pemex still an issuer in this fund</w:t>
      </w:r>
      <w:r>
        <w:rPr>
          <w:rFonts w:cs="Calibri"/>
          <w:sz w:val="22"/>
          <w:szCs w:val="22"/>
        </w:rPr>
        <w:t xml:space="preserve">. </w:t>
      </w:r>
    </w:p>
    <w:p w14:paraId="1C03C986" w14:textId="77777777" w:rsidR="00D170C3" w:rsidRPr="00D170C3" w:rsidRDefault="00D170C3" w:rsidP="00D170C3">
      <w:pPr>
        <w:rPr>
          <w:rStyle w:val="A0"/>
          <w:rFonts w:cs="Calibri"/>
          <w:b/>
          <w:color w:val="000000" w:themeColor="text1"/>
          <w:sz w:val="22"/>
          <w:szCs w:val="22"/>
        </w:rPr>
      </w:pPr>
    </w:p>
    <w:p w14:paraId="53991847" w14:textId="784641C8" w:rsidR="00D170C3" w:rsidRPr="00D170C3" w:rsidRDefault="00D170C3" w:rsidP="00D170C3">
      <w:pPr>
        <w:rPr>
          <w:rFonts w:cs="Calibri"/>
          <w:bCs/>
          <w:color w:val="000000" w:themeColor="text1"/>
          <w:sz w:val="22"/>
          <w:szCs w:val="22"/>
        </w:rPr>
      </w:pPr>
      <w:r w:rsidRPr="00D170C3">
        <w:rPr>
          <w:rFonts w:cs="Calibri"/>
          <w:bCs/>
          <w:color w:val="000000" w:themeColor="text1"/>
          <w:sz w:val="22"/>
          <w:szCs w:val="22"/>
        </w:rPr>
        <w:t xml:space="preserve">L&amp;G responded that the fund now adheres to the L&amp;G FWPL list which incorporates UNGC Violators </w:t>
      </w:r>
      <w:r w:rsidR="00E3205F">
        <w:rPr>
          <w:rFonts w:cs="Calibri"/>
          <w:bCs/>
          <w:color w:val="000000" w:themeColor="text1"/>
          <w:sz w:val="22"/>
          <w:szCs w:val="22"/>
        </w:rPr>
        <w:t>in</w:t>
      </w:r>
      <w:r w:rsidR="00E3205F" w:rsidRPr="00D170C3">
        <w:rPr>
          <w:rFonts w:cs="Calibri"/>
          <w:bCs/>
          <w:color w:val="000000" w:themeColor="text1"/>
          <w:sz w:val="22"/>
          <w:szCs w:val="22"/>
        </w:rPr>
        <w:t xml:space="preserve"> </w:t>
      </w:r>
      <w:r w:rsidRPr="00D170C3">
        <w:rPr>
          <w:rFonts w:cs="Calibri"/>
          <w:bCs/>
          <w:color w:val="000000" w:themeColor="text1"/>
          <w:sz w:val="22"/>
          <w:szCs w:val="22"/>
        </w:rPr>
        <w:t xml:space="preserve">which Pemex is listed. Therefore L&amp;G divested fully from the fund and are prohibited to invest for as long as it remains on the list. They pointed out that this issuer remains one of the largest names within the high yield universe and forms 2% </w:t>
      </w:r>
      <w:r w:rsidR="00E3205F">
        <w:rPr>
          <w:rFonts w:cs="Calibri"/>
          <w:bCs/>
          <w:color w:val="000000" w:themeColor="text1"/>
          <w:sz w:val="22"/>
          <w:szCs w:val="22"/>
        </w:rPr>
        <w:t xml:space="preserve">of </w:t>
      </w:r>
      <w:r w:rsidRPr="00D170C3">
        <w:rPr>
          <w:rFonts w:cs="Calibri"/>
          <w:bCs/>
          <w:color w:val="000000" w:themeColor="text1"/>
          <w:sz w:val="22"/>
          <w:szCs w:val="22"/>
        </w:rPr>
        <w:t>L&amp;G's comparative index.</w:t>
      </w:r>
    </w:p>
    <w:p w14:paraId="35A46C5A" w14:textId="77777777" w:rsidR="00D012D9" w:rsidRPr="00232537" w:rsidRDefault="00D012D9" w:rsidP="002930E3">
      <w:pPr>
        <w:rPr>
          <w:rFonts w:cs="Calibri"/>
          <w:sz w:val="22"/>
          <w:szCs w:val="22"/>
        </w:rPr>
      </w:pPr>
    </w:p>
    <w:p w14:paraId="376124B9" w14:textId="57CA95E5" w:rsidR="00D012D9" w:rsidRPr="00232537" w:rsidRDefault="00D012D9" w:rsidP="00D012D9">
      <w:pPr>
        <w:rPr>
          <w:rFonts w:cs="Calibri"/>
          <w:b/>
          <w:bCs/>
          <w:color w:val="000000" w:themeColor="text1"/>
          <w:sz w:val="22"/>
          <w:szCs w:val="22"/>
        </w:rPr>
      </w:pPr>
      <w:r w:rsidRPr="00232537">
        <w:rPr>
          <w:rFonts w:cs="Calibri"/>
          <w:b/>
          <w:bCs/>
          <w:color w:val="000000" w:themeColor="text1"/>
          <w:sz w:val="22"/>
          <w:szCs w:val="22"/>
        </w:rPr>
        <w:t>4.</w:t>
      </w:r>
      <w:r w:rsidR="00D170C3" w:rsidRPr="00232537">
        <w:rPr>
          <w:rFonts w:cs="Calibri"/>
          <w:b/>
          <w:bCs/>
          <w:color w:val="000000" w:themeColor="text1"/>
          <w:sz w:val="22"/>
          <w:szCs w:val="22"/>
        </w:rPr>
        <w:t>2</w:t>
      </w:r>
      <w:r w:rsidRPr="00232537">
        <w:rPr>
          <w:rFonts w:cs="Calibri"/>
          <w:b/>
          <w:bCs/>
          <w:color w:val="000000" w:themeColor="text1"/>
          <w:sz w:val="22"/>
          <w:szCs w:val="22"/>
        </w:rPr>
        <w:t xml:space="preserve"> M&amp;</w:t>
      </w:r>
      <w:proofErr w:type="gramStart"/>
      <w:r w:rsidRPr="00232537">
        <w:rPr>
          <w:rFonts w:cs="Calibri"/>
          <w:b/>
          <w:bCs/>
          <w:color w:val="000000" w:themeColor="text1"/>
          <w:sz w:val="22"/>
          <w:szCs w:val="22"/>
        </w:rPr>
        <w:t>G  Sustainable</w:t>
      </w:r>
      <w:proofErr w:type="gramEnd"/>
      <w:r w:rsidRPr="00232537">
        <w:rPr>
          <w:rFonts w:cs="Calibri"/>
          <w:b/>
          <w:bCs/>
          <w:color w:val="000000" w:themeColor="text1"/>
          <w:sz w:val="22"/>
          <w:szCs w:val="22"/>
        </w:rPr>
        <w:t xml:space="preserve"> Total Return Credit Investment Fund</w:t>
      </w:r>
    </w:p>
    <w:p w14:paraId="24CAA7F2" w14:textId="77777777" w:rsidR="00D012D9" w:rsidRPr="00232537" w:rsidRDefault="00D012D9" w:rsidP="00D012D9">
      <w:pPr>
        <w:rPr>
          <w:rFonts w:cs="Calibri"/>
          <w:sz w:val="22"/>
          <w:szCs w:val="22"/>
        </w:rPr>
      </w:pPr>
      <w:r w:rsidRPr="00232537">
        <w:rPr>
          <w:rFonts w:cs="Calibri"/>
          <w:sz w:val="22"/>
          <w:szCs w:val="22"/>
        </w:rPr>
        <w:t>The Trustee welcomed M&amp;G's commitment to fighting climate change and in particular its Climate Transition Plan from July 2025 which stated: "</w:t>
      </w:r>
      <w:r w:rsidRPr="00232537">
        <w:rPr>
          <w:rFonts w:cs="Calibri"/>
          <w:color w:val="000000" w:themeColor="text1"/>
          <w:sz w:val="22"/>
          <w:szCs w:val="22"/>
        </w:rPr>
        <w:t>Our Strategic Ambition is to play our part in supporting</w:t>
      </w:r>
      <w:r w:rsidRPr="00232537">
        <w:rPr>
          <w:rFonts w:cs="Calibri"/>
          <w:sz w:val="22"/>
          <w:szCs w:val="22"/>
        </w:rPr>
        <w:t xml:space="preserve"> </w:t>
      </w:r>
      <w:r w:rsidRPr="00232537">
        <w:rPr>
          <w:rFonts w:cs="Calibri"/>
          <w:color w:val="000000" w:themeColor="text1"/>
          <w:sz w:val="22"/>
          <w:szCs w:val="22"/>
        </w:rPr>
        <w:t>real-economy decarbonisation, and to contribute to a more</w:t>
      </w:r>
      <w:r w:rsidRPr="00232537">
        <w:rPr>
          <w:rFonts w:cs="Calibri"/>
          <w:sz w:val="22"/>
          <w:szCs w:val="22"/>
        </w:rPr>
        <w:t xml:space="preserve"> </w:t>
      </w:r>
      <w:r w:rsidRPr="00232537">
        <w:rPr>
          <w:rFonts w:cs="Calibri"/>
          <w:color w:val="000000" w:themeColor="text1"/>
          <w:sz w:val="22"/>
          <w:szCs w:val="22"/>
        </w:rPr>
        <w:t>resilient society. To implement this, M&amp;G plc adopted a target of achieving net zero by 2050 across our</w:t>
      </w:r>
      <w:r w:rsidRPr="00232537">
        <w:rPr>
          <w:rFonts w:cs="Calibri"/>
          <w:sz w:val="22"/>
          <w:szCs w:val="22"/>
        </w:rPr>
        <w:t xml:space="preserve"> </w:t>
      </w:r>
      <w:r w:rsidRPr="00232537">
        <w:rPr>
          <w:rFonts w:cs="Calibri"/>
          <w:color w:val="000000" w:themeColor="text1"/>
          <w:sz w:val="22"/>
          <w:szCs w:val="22"/>
        </w:rPr>
        <w:t>operations and investments."</w:t>
      </w:r>
    </w:p>
    <w:p w14:paraId="0D99C77C" w14:textId="77777777" w:rsidR="00D012D9" w:rsidRPr="00232537" w:rsidRDefault="00D012D9" w:rsidP="00D012D9">
      <w:pPr>
        <w:rPr>
          <w:rFonts w:cs="Calibri"/>
          <w:b/>
          <w:bCs/>
          <w:sz w:val="22"/>
          <w:szCs w:val="22"/>
        </w:rPr>
      </w:pPr>
    </w:p>
    <w:p w14:paraId="5F8687FB" w14:textId="77777777" w:rsidR="00D012D9" w:rsidRPr="00232537" w:rsidRDefault="00D012D9" w:rsidP="00D012D9">
      <w:pPr>
        <w:rPr>
          <w:rFonts w:cs="Calibri"/>
          <w:color w:val="000000" w:themeColor="text1"/>
          <w:sz w:val="22"/>
          <w:szCs w:val="22"/>
        </w:rPr>
      </w:pPr>
      <w:r w:rsidRPr="00232537">
        <w:rPr>
          <w:rFonts w:cs="Calibri"/>
          <w:color w:val="000000" w:themeColor="text1"/>
          <w:sz w:val="22"/>
          <w:szCs w:val="22"/>
        </w:rPr>
        <w:t>The Trustee asked whether or at what point M&amp;G might be able to revise this 2050 target downwards.</w:t>
      </w:r>
    </w:p>
    <w:p w14:paraId="471BA145" w14:textId="77777777" w:rsidR="00D012D9" w:rsidRPr="00232537" w:rsidRDefault="00D012D9" w:rsidP="00D012D9">
      <w:pPr>
        <w:autoSpaceDE w:val="0"/>
        <w:autoSpaceDN w:val="0"/>
        <w:adjustRightInd w:val="0"/>
        <w:rPr>
          <w:rFonts w:cs="Calibri"/>
          <w:color w:val="000000"/>
          <w:sz w:val="22"/>
          <w:szCs w:val="22"/>
        </w:rPr>
      </w:pPr>
    </w:p>
    <w:p w14:paraId="0A069BED" w14:textId="77777777" w:rsidR="00D012D9" w:rsidRPr="00232537" w:rsidRDefault="00D012D9" w:rsidP="00D012D9">
      <w:pPr>
        <w:rPr>
          <w:rFonts w:cs="Calibri"/>
          <w:color w:val="000000"/>
          <w:sz w:val="22"/>
          <w:szCs w:val="22"/>
        </w:rPr>
      </w:pPr>
      <w:r w:rsidRPr="00232537">
        <w:rPr>
          <w:rFonts w:cs="Calibri"/>
          <w:color w:val="000000"/>
          <w:sz w:val="22"/>
          <w:szCs w:val="22"/>
        </w:rPr>
        <w:t>M&amp;G responded that they did not anticipate revising the 2050 target earlier, as their firm-level targets are aligned with the Paris Agreement and global Net Zero frameworks (</w:t>
      </w:r>
      <w:proofErr w:type="spellStart"/>
      <w:r w:rsidRPr="00232537">
        <w:rPr>
          <w:rFonts w:cs="Calibri"/>
          <w:color w:val="000000"/>
          <w:sz w:val="22"/>
          <w:szCs w:val="22"/>
        </w:rPr>
        <w:t>NZAMi</w:t>
      </w:r>
      <w:proofErr w:type="spellEnd"/>
      <w:r w:rsidRPr="00232537">
        <w:rPr>
          <w:rFonts w:cs="Calibri"/>
          <w:color w:val="000000"/>
          <w:sz w:val="22"/>
          <w:szCs w:val="22"/>
        </w:rPr>
        <w:t xml:space="preserve"> and NZAOA). However, they review their Climate Transition Plan every three years, in line with TPT guidance, which includes reassessing climate targets and the feasibility of any revisions. </w:t>
      </w:r>
    </w:p>
    <w:p w14:paraId="3A988DFE" w14:textId="77777777" w:rsidR="00D012D9" w:rsidRPr="00232537" w:rsidRDefault="00D012D9" w:rsidP="00D012D9">
      <w:pPr>
        <w:rPr>
          <w:rFonts w:cs="Calibri"/>
          <w:color w:val="000000"/>
          <w:sz w:val="22"/>
          <w:szCs w:val="22"/>
        </w:rPr>
      </w:pPr>
    </w:p>
    <w:p w14:paraId="098C1A46" w14:textId="77777777" w:rsidR="00D012D9" w:rsidRPr="00232537" w:rsidRDefault="00D012D9" w:rsidP="00D012D9">
      <w:pPr>
        <w:rPr>
          <w:rFonts w:cs="Calibri"/>
          <w:color w:val="000000"/>
          <w:sz w:val="22"/>
          <w:szCs w:val="22"/>
        </w:rPr>
      </w:pPr>
      <w:r w:rsidRPr="00232537">
        <w:rPr>
          <w:rFonts w:cs="Calibri"/>
          <w:color w:val="000000"/>
          <w:sz w:val="22"/>
          <w:szCs w:val="22"/>
        </w:rPr>
        <w:t xml:space="preserve">They pointed out that while M&amp;G's firm-level targets guide how they manage climate-related risks and opportunities, all individual funds continue to be managed in line with their stated investment objectives, mandates, and legal documentation. This means that group-level ambitions do not automatically result in changes to fund-level objectives, unless explicitly written into fund documentation or agreed with clients. They added that climate remains a priority as evidenced by M&amp;G's continued commitment to Net Zero Asset Managers (NZAM) initiative following its relaunch. The Trustee notes that this commitment is not what it was, since the relaunched NZAM initiative has dropped the requirement to commit to a 2050 net zero target. </w:t>
      </w:r>
    </w:p>
    <w:p w14:paraId="5ED8B077" w14:textId="77777777" w:rsidR="00D012D9" w:rsidRPr="00232537" w:rsidRDefault="00D012D9" w:rsidP="00D012D9">
      <w:pPr>
        <w:rPr>
          <w:rFonts w:cs="Calibri"/>
          <w:color w:val="000000"/>
          <w:sz w:val="22"/>
          <w:szCs w:val="22"/>
        </w:rPr>
      </w:pPr>
    </w:p>
    <w:p w14:paraId="39F6B88C" w14:textId="77777777" w:rsidR="00D012D9" w:rsidRPr="00232537" w:rsidRDefault="00D012D9" w:rsidP="00D012D9">
      <w:pPr>
        <w:rPr>
          <w:rFonts w:cs="Calibri"/>
          <w:color w:val="000000" w:themeColor="text1"/>
          <w:sz w:val="22"/>
          <w:szCs w:val="22"/>
        </w:rPr>
      </w:pPr>
      <w:r w:rsidRPr="00232537">
        <w:rPr>
          <w:rFonts w:cs="Calibri"/>
          <w:color w:val="000000" w:themeColor="text1"/>
          <w:sz w:val="22"/>
          <w:szCs w:val="22"/>
        </w:rPr>
        <w:t xml:space="preserve">The Trustee asked what progress M&amp;G had made in relation to their climate goals regarding the issuers in the Sustainable Total Return Credit Fund. </w:t>
      </w:r>
    </w:p>
    <w:p w14:paraId="49129B3D" w14:textId="77777777" w:rsidR="00D012D9" w:rsidRPr="00232537" w:rsidRDefault="00D012D9" w:rsidP="00D012D9">
      <w:pPr>
        <w:autoSpaceDE w:val="0"/>
        <w:autoSpaceDN w:val="0"/>
        <w:adjustRightInd w:val="0"/>
        <w:rPr>
          <w:rFonts w:cs="Calibri"/>
          <w:color w:val="000000"/>
          <w:sz w:val="22"/>
          <w:szCs w:val="22"/>
        </w:rPr>
      </w:pPr>
    </w:p>
    <w:p w14:paraId="69DA5ED4" w14:textId="77777777" w:rsidR="00D012D9" w:rsidRPr="00232537" w:rsidRDefault="00D012D9" w:rsidP="00D012D9">
      <w:pPr>
        <w:rPr>
          <w:rFonts w:cs="Calibri"/>
          <w:color w:val="000000"/>
          <w:sz w:val="22"/>
          <w:szCs w:val="22"/>
        </w:rPr>
      </w:pPr>
      <w:r w:rsidRPr="00232537">
        <w:rPr>
          <w:rFonts w:cs="Calibri"/>
          <w:color w:val="000000"/>
          <w:sz w:val="22"/>
          <w:szCs w:val="22"/>
        </w:rPr>
        <w:t xml:space="preserve">M&amp;G responded by noting that the </w:t>
      </w:r>
      <w:r w:rsidRPr="00232537">
        <w:rPr>
          <w:rFonts w:eastAsia="Times New Roman" w:cs="Calibri"/>
          <w:color w:val="000000"/>
          <w:sz w:val="22"/>
          <w:szCs w:val="22"/>
          <w:lang w:eastAsia="en-GB"/>
        </w:rPr>
        <w:t>M&amp;G Sustainable Total Return Credit Fund</w:t>
      </w:r>
      <w:r w:rsidRPr="00232537">
        <w:rPr>
          <w:rFonts w:cs="Calibri"/>
          <w:color w:val="000000"/>
          <w:sz w:val="22"/>
          <w:szCs w:val="22"/>
        </w:rPr>
        <w:t xml:space="preserve"> does not have any fund-level Net Zero targets or Paris-alignment goals. As such, climate-related progress within the portfolio is not measured against a decarbonisation or temperature-alignment pathway. Instead, climate considerations occur where it is financially material and is assessed through the implementation of the fund’s sustainability criteria, exclusions, ESG integration and issuer-level analysis. The Fund’s three-stage sustainability screening process, which applies norms-based exclusions, sector-based exclusions (including thermal coal, conventional and unconventional oil and gas, and carbon-intensive power generation), and the exclusion of ESG laggards from the investable universe. Climate considerations are also fully integrated into fundamental credit research, where climate-related risks and opportunities are assessed alongside an issuer’s financial profile. In terms of monitoring progress at issuer level, the fund benefits from M&amp;G’s proprietary ESG and climate analytical tools, including the ESG Scorecard, and ESG/engagement dashboards, which enable ongoing assessment of issuer climate performance, transition-readiness and material climate-related risk.</w:t>
      </w:r>
    </w:p>
    <w:p w14:paraId="7974EBE4" w14:textId="77777777" w:rsidR="00D012D9" w:rsidRPr="00232537" w:rsidRDefault="00D012D9" w:rsidP="00D012D9">
      <w:pPr>
        <w:rPr>
          <w:rFonts w:cs="Calibri"/>
          <w:b/>
          <w:bCs/>
          <w:sz w:val="22"/>
          <w:szCs w:val="22"/>
        </w:rPr>
      </w:pPr>
    </w:p>
    <w:p w14:paraId="158A73DB"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 xml:space="preserve">M&amp;G confirmed that they have a dedicated stewardship programme for fixed income, which is distinct from the </w:t>
      </w:r>
      <w:proofErr w:type="gramStart"/>
      <w:r w:rsidRPr="00232537">
        <w:rPr>
          <w:rFonts w:cs="Calibri"/>
          <w:color w:val="000000"/>
          <w:sz w:val="22"/>
          <w:szCs w:val="22"/>
        </w:rPr>
        <w:t>equities</w:t>
      </w:r>
      <w:proofErr w:type="gramEnd"/>
      <w:r w:rsidRPr="00232537">
        <w:rPr>
          <w:rFonts w:cs="Calibri"/>
          <w:color w:val="000000"/>
          <w:sz w:val="22"/>
          <w:szCs w:val="22"/>
        </w:rPr>
        <w:t xml:space="preserve"> stewardship programme, while also being supported by their firm</w:t>
      </w:r>
      <w:r w:rsidRPr="00232537">
        <w:rPr>
          <w:rFonts w:cs="Calibri"/>
          <w:color w:val="000000"/>
          <w:sz w:val="22"/>
          <w:szCs w:val="22"/>
        </w:rPr>
        <w:noBreakHyphen/>
        <w:t>wide central stewardship and sustainability function. Engagement with issuers in fixed</w:t>
      </w:r>
      <w:r w:rsidRPr="00232537">
        <w:rPr>
          <w:rFonts w:cs="Calibri"/>
          <w:color w:val="000000"/>
          <w:sz w:val="22"/>
          <w:szCs w:val="22"/>
        </w:rPr>
        <w:noBreakHyphen/>
        <w:t xml:space="preserve">income is primarily undertaken by M&amp;G's credit analyst teams, who integrate material ESG risks and opportunities into </w:t>
      </w:r>
      <w:r w:rsidRPr="00232537">
        <w:rPr>
          <w:rFonts w:cs="Calibri"/>
          <w:color w:val="000000"/>
          <w:sz w:val="22"/>
          <w:szCs w:val="22"/>
        </w:rPr>
        <w:lastRenderedPageBreak/>
        <w:t>fundamental credit research. These analysts lead issuer</w:t>
      </w:r>
      <w:r w:rsidRPr="00232537">
        <w:rPr>
          <w:rFonts w:cs="Calibri"/>
          <w:color w:val="000000"/>
          <w:sz w:val="22"/>
          <w:szCs w:val="22"/>
        </w:rPr>
        <w:noBreakHyphen/>
        <w:t xml:space="preserve">level </w:t>
      </w:r>
      <w:proofErr w:type="gramStart"/>
      <w:r w:rsidRPr="00232537">
        <w:rPr>
          <w:rFonts w:cs="Calibri"/>
          <w:color w:val="000000"/>
          <w:sz w:val="22"/>
          <w:szCs w:val="22"/>
        </w:rPr>
        <w:t>engagement, and</w:t>
      </w:r>
      <w:proofErr w:type="gramEnd"/>
      <w:r w:rsidRPr="00232537">
        <w:rPr>
          <w:rFonts w:cs="Calibri"/>
          <w:color w:val="000000"/>
          <w:sz w:val="22"/>
          <w:szCs w:val="22"/>
        </w:rPr>
        <w:t xml:space="preserve"> are supported by the stewardship and sustainability team where thematic expertise, escalation, or coordination is required. </w:t>
      </w:r>
    </w:p>
    <w:p w14:paraId="252C9A5F" w14:textId="77777777" w:rsidR="00D170C3" w:rsidRPr="00232537" w:rsidRDefault="00D170C3" w:rsidP="00D012D9">
      <w:pPr>
        <w:autoSpaceDE w:val="0"/>
        <w:autoSpaceDN w:val="0"/>
        <w:adjustRightInd w:val="0"/>
        <w:rPr>
          <w:rFonts w:cs="Calibri"/>
          <w:color w:val="000000"/>
          <w:sz w:val="22"/>
          <w:szCs w:val="22"/>
        </w:rPr>
      </w:pPr>
    </w:p>
    <w:p w14:paraId="7B8B4CEE" w14:textId="77777777" w:rsidR="00D012D9" w:rsidRPr="00232537" w:rsidRDefault="00D012D9" w:rsidP="00D012D9">
      <w:pPr>
        <w:rPr>
          <w:rFonts w:cs="Calibri"/>
          <w:sz w:val="22"/>
          <w:szCs w:val="22"/>
        </w:rPr>
      </w:pPr>
      <w:r w:rsidRPr="00232537">
        <w:rPr>
          <w:rFonts w:cs="Calibri"/>
          <w:color w:val="000000"/>
          <w:sz w:val="22"/>
          <w:szCs w:val="22"/>
        </w:rPr>
        <w:t xml:space="preserve">Although bondholders typically have fewer formal rights than equity holders, M&amp;G stated that it considered </w:t>
      </w:r>
      <w:r w:rsidRPr="00232537">
        <w:rPr>
          <w:rFonts w:cs="Calibri"/>
          <w:sz w:val="22"/>
          <w:szCs w:val="22"/>
        </w:rPr>
        <w:t>stewardship a core part of responsible fixed</w:t>
      </w:r>
      <w:r w:rsidRPr="00232537">
        <w:rPr>
          <w:rFonts w:cs="Calibri"/>
          <w:sz w:val="22"/>
          <w:szCs w:val="22"/>
        </w:rPr>
        <w:noBreakHyphen/>
        <w:t>income investing. The central stewardship and sustainability function sets the overall stewardship framework for the firm, ensuring consistent expectations on ESG issues across asset classes, coordinating thematic engagement (e.g., climate, biodiversity, labour standards), and maintaining engagement tools, policies, and governance structures used by all investment teams. The dedicated fixed</w:t>
      </w:r>
      <w:r w:rsidRPr="00232537">
        <w:rPr>
          <w:rFonts w:cs="Calibri"/>
          <w:sz w:val="22"/>
          <w:szCs w:val="22"/>
        </w:rPr>
        <w:noBreakHyphen/>
        <w:t>income stewardship activities include regular engagement reviews, the use of internal analytical tools (including on climate and nature</w:t>
      </w:r>
      <w:r w:rsidRPr="00232537">
        <w:rPr>
          <w:rFonts w:cs="Calibri"/>
          <w:sz w:val="22"/>
          <w:szCs w:val="22"/>
        </w:rPr>
        <w:noBreakHyphen/>
        <w:t xml:space="preserve">risk) to support ESG integration within credit analysis and ongoing monitoring. </w:t>
      </w:r>
    </w:p>
    <w:p w14:paraId="2A134564" w14:textId="77777777" w:rsidR="00D012D9" w:rsidRPr="00232537" w:rsidRDefault="00D012D9" w:rsidP="00D012D9">
      <w:pPr>
        <w:rPr>
          <w:rFonts w:cs="Calibri"/>
          <w:sz w:val="22"/>
          <w:szCs w:val="22"/>
        </w:rPr>
      </w:pPr>
    </w:p>
    <w:p w14:paraId="4059DBA1" w14:textId="77777777" w:rsidR="00D012D9" w:rsidRPr="00232537" w:rsidRDefault="00D012D9" w:rsidP="00D012D9">
      <w:pPr>
        <w:rPr>
          <w:rFonts w:cs="Calibri"/>
          <w:b/>
          <w:bCs/>
          <w:sz w:val="22"/>
          <w:szCs w:val="22"/>
        </w:rPr>
      </w:pPr>
      <w:r w:rsidRPr="00232537">
        <w:rPr>
          <w:rFonts w:cs="Calibri"/>
          <w:b/>
          <w:bCs/>
          <w:sz w:val="22"/>
          <w:szCs w:val="22"/>
        </w:rPr>
        <w:t>Other ESG matters</w:t>
      </w:r>
    </w:p>
    <w:p w14:paraId="524B8235" w14:textId="77777777" w:rsidR="00D012D9" w:rsidRPr="00232537" w:rsidRDefault="00D012D9" w:rsidP="00D012D9">
      <w:pPr>
        <w:rPr>
          <w:rFonts w:cs="Calibri"/>
          <w:sz w:val="22"/>
          <w:szCs w:val="22"/>
        </w:rPr>
      </w:pPr>
      <w:r w:rsidRPr="00232537">
        <w:rPr>
          <w:rFonts w:cs="Calibri"/>
          <w:sz w:val="22"/>
          <w:szCs w:val="22"/>
        </w:rPr>
        <w:t xml:space="preserve">The Trustee reminded M&amp;G of its stewardship priorities (in addition to climate change) and asked how M&amp;G approaches these policy priorities in the context of this fund and whether they had raised any of these issues with the issuers. </w:t>
      </w:r>
    </w:p>
    <w:p w14:paraId="35CF1979" w14:textId="77777777" w:rsidR="00D012D9" w:rsidRPr="00232537" w:rsidRDefault="00D012D9" w:rsidP="00D012D9">
      <w:pPr>
        <w:rPr>
          <w:rFonts w:cs="Calibri"/>
          <w:sz w:val="22"/>
          <w:szCs w:val="22"/>
        </w:rPr>
      </w:pPr>
    </w:p>
    <w:p w14:paraId="65111836"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 xml:space="preserve">M&amp;G responded that historically their engagement policy was written with listed equities in mind but increasingly they had been engaging with corporate bond holdings as </w:t>
      </w:r>
      <w:proofErr w:type="gramStart"/>
      <w:r w:rsidRPr="00232537">
        <w:rPr>
          <w:rFonts w:cs="Calibri"/>
          <w:color w:val="000000"/>
          <w:sz w:val="22"/>
          <w:szCs w:val="22"/>
        </w:rPr>
        <w:t>well, and</w:t>
      </w:r>
      <w:proofErr w:type="gramEnd"/>
      <w:r w:rsidRPr="00232537">
        <w:rPr>
          <w:rFonts w:cs="Calibri"/>
          <w:color w:val="000000"/>
          <w:sz w:val="22"/>
          <w:szCs w:val="22"/>
        </w:rPr>
        <w:t xml:space="preserve"> had recently updated their engagement policy which sets out how M&amp;G engages with investee companies which are corporate bond holdings only. The main difference was that engagement tends to be with executive management rather than including the wider board of </w:t>
      </w:r>
      <w:proofErr w:type="spellStart"/>
      <w:proofErr w:type="gramStart"/>
      <w:r w:rsidRPr="00232537">
        <w:rPr>
          <w:rFonts w:cs="Calibri"/>
          <w:color w:val="000000"/>
          <w:sz w:val="22"/>
          <w:szCs w:val="22"/>
        </w:rPr>
        <w:t>non executive</w:t>
      </w:r>
      <w:proofErr w:type="spellEnd"/>
      <w:proofErr w:type="gramEnd"/>
      <w:r w:rsidRPr="00232537">
        <w:rPr>
          <w:rFonts w:cs="Calibri"/>
          <w:color w:val="000000"/>
          <w:sz w:val="22"/>
          <w:szCs w:val="22"/>
        </w:rPr>
        <w:t xml:space="preserve"> directors on equity related matters. </w:t>
      </w:r>
    </w:p>
    <w:p w14:paraId="5BDAC6FA"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 xml:space="preserve">M&amp;G confirmed that the themes prioritised within the AMNT Red Line policy - labour rights, board diversity, equality monitoring, fair pay, executive remuneration structures and Living Wage considerations - are also areas of focus for them and that there is therefore strong philosophical alignment in the issues considered material to long term value and to responsible investment outcomes. </w:t>
      </w:r>
    </w:p>
    <w:p w14:paraId="73104C38" w14:textId="77777777" w:rsidR="00D012D9" w:rsidRPr="00232537" w:rsidRDefault="00D012D9" w:rsidP="00D012D9">
      <w:pPr>
        <w:rPr>
          <w:rFonts w:cs="Calibri"/>
          <w:color w:val="000000" w:themeColor="text1"/>
          <w:sz w:val="22"/>
          <w:szCs w:val="22"/>
        </w:rPr>
      </w:pPr>
    </w:p>
    <w:p w14:paraId="5348F3A8" w14:textId="77777777" w:rsidR="00D012D9" w:rsidRPr="00232537" w:rsidRDefault="00D012D9" w:rsidP="00D012D9">
      <w:pPr>
        <w:rPr>
          <w:rFonts w:cs="Calibri"/>
          <w:b/>
          <w:bCs/>
          <w:sz w:val="22"/>
          <w:szCs w:val="22"/>
        </w:rPr>
      </w:pPr>
      <w:r w:rsidRPr="00232537">
        <w:rPr>
          <w:rFonts w:cs="Calibri"/>
          <w:b/>
          <w:bCs/>
          <w:sz w:val="22"/>
          <w:szCs w:val="22"/>
        </w:rPr>
        <w:t>Water</w:t>
      </w:r>
    </w:p>
    <w:p w14:paraId="30B862DA" w14:textId="77777777" w:rsidR="00D012D9" w:rsidRPr="00232537" w:rsidRDefault="00D012D9" w:rsidP="00D012D9">
      <w:pPr>
        <w:rPr>
          <w:rFonts w:cs="Calibri"/>
          <w:sz w:val="22"/>
          <w:szCs w:val="22"/>
        </w:rPr>
      </w:pPr>
      <w:r w:rsidRPr="00232537">
        <w:rPr>
          <w:rFonts w:cs="Calibri"/>
          <w:sz w:val="22"/>
          <w:szCs w:val="22"/>
        </w:rPr>
        <w:t xml:space="preserve">The Trustee had reviewed the relevant section of the annual report of M&amp;G's European Specialist Investment Funds for the year ended 31 December 2024, which indicated that the worst performing issuers in the fund in relation to cash benchmark in Q1, Q2 and Q3 included the UK water companies Thames Water and Southern Water. </w:t>
      </w:r>
    </w:p>
    <w:p w14:paraId="2CB51179" w14:textId="77777777" w:rsidR="00D012D9" w:rsidRPr="00232537" w:rsidRDefault="00D012D9" w:rsidP="00D012D9">
      <w:pPr>
        <w:rPr>
          <w:rFonts w:cs="Calibri"/>
          <w:sz w:val="22"/>
          <w:szCs w:val="22"/>
        </w:rPr>
      </w:pPr>
    </w:p>
    <w:p w14:paraId="396C255A" w14:textId="77777777" w:rsidR="00D012D9" w:rsidRPr="00232537" w:rsidRDefault="00D012D9" w:rsidP="00D012D9">
      <w:pPr>
        <w:rPr>
          <w:rFonts w:cs="Calibri"/>
          <w:sz w:val="22"/>
          <w:szCs w:val="22"/>
        </w:rPr>
      </w:pPr>
      <w:r w:rsidRPr="00232537">
        <w:rPr>
          <w:rFonts w:cs="Calibri"/>
          <w:sz w:val="22"/>
          <w:szCs w:val="22"/>
        </w:rPr>
        <w:t>The Trustee noted media reports that by 2023 Thames Water had discharged 72-billion litres of sewage into the River Thames since 2020</w:t>
      </w:r>
      <w:r w:rsidRPr="00232537">
        <w:rPr>
          <w:rStyle w:val="FootnoteReference"/>
          <w:rFonts w:cs="Calibri"/>
          <w:sz w:val="22"/>
          <w:szCs w:val="22"/>
        </w:rPr>
        <w:footnoteReference w:id="5"/>
      </w:r>
      <w:r w:rsidRPr="00232537">
        <w:rPr>
          <w:rFonts w:cs="Calibri"/>
          <w:sz w:val="22"/>
          <w:szCs w:val="22"/>
        </w:rPr>
        <w:t>, and in December 2025 it was reported that 13 communities that live along the River Thames have filed the first coordinated legal complaint about this company's continued sewage pollution</w:t>
      </w:r>
      <w:r w:rsidRPr="00232537">
        <w:rPr>
          <w:rStyle w:val="FootnoteReference"/>
          <w:rFonts w:cs="Calibri"/>
          <w:sz w:val="22"/>
          <w:szCs w:val="22"/>
        </w:rPr>
        <w:footnoteReference w:id="6"/>
      </w:r>
      <w:r w:rsidRPr="00232537">
        <w:rPr>
          <w:rFonts w:cs="Calibri"/>
          <w:sz w:val="22"/>
          <w:szCs w:val="22"/>
        </w:rPr>
        <w:t xml:space="preserve">. Ofwat fined them </w:t>
      </w:r>
      <w:proofErr w:type="gramStart"/>
      <w:r w:rsidRPr="00232537">
        <w:rPr>
          <w:rFonts w:cs="Calibri"/>
          <w:sz w:val="22"/>
          <w:szCs w:val="22"/>
        </w:rPr>
        <w:t>£122.7-million</w:t>
      </w:r>
      <w:proofErr w:type="gramEnd"/>
      <w:r w:rsidRPr="00232537">
        <w:rPr>
          <w:rFonts w:cs="Calibri"/>
          <w:sz w:val="22"/>
          <w:szCs w:val="22"/>
        </w:rPr>
        <w:t xml:space="preserve"> in July 2025 for major failures over sewage spills and paying unjustified dividends to shareholders</w:t>
      </w:r>
      <w:r w:rsidRPr="00232537">
        <w:rPr>
          <w:rStyle w:val="FootnoteReference"/>
          <w:rFonts w:cs="Calibri"/>
          <w:sz w:val="22"/>
          <w:szCs w:val="22"/>
        </w:rPr>
        <w:footnoteReference w:id="7"/>
      </w:r>
      <w:r w:rsidRPr="00232537">
        <w:rPr>
          <w:rFonts w:cs="Calibri"/>
          <w:sz w:val="22"/>
          <w:szCs w:val="22"/>
        </w:rPr>
        <w:t xml:space="preserve">. The chair of the Independent Water Commission stated in 2025 that Thames Water's main water treatment works for London at </w:t>
      </w:r>
      <w:proofErr w:type="spellStart"/>
      <w:r w:rsidRPr="00232537">
        <w:rPr>
          <w:rFonts w:cs="Calibri"/>
          <w:sz w:val="22"/>
          <w:szCs w:val="22"/>
        </w:rPr>
        <w:t>Coppermills</w:t>
      </w:r>
      <w:proofErr w:type="spellEnd"/>
      <w:r w:rsidRPr="00232537">
        <w:rPr>
          <w:rFonts w:cs="Calibri"/>
          <w:sz w:val="22"/>
          <w:szCs w:val="22"/>
        </w:rPr>
        <w:t xml:space="preserve">, which is 60 years old, is "on its last legs" and the </w:t>
      </w:r>
      <w:r w:rsidRPr="00232537">
        <w:rPr>
          <w:rFonts w:cs="Calibri"/>
          <w:i/>
          <w:iCs/>
          <w:sz w:val="22"/>
          <w:szCs w:val="22"/>
        </w:rPr>
        <w:t>Financial Times</w:t>
      </w:r>
      <w:r w:rsidRPr="00232537">
        <w:rPr>
          <w:rFonts w:cs="Calibri"/>
          <w:sz w:val="22"/>
          <w:szCs w:val="22"/>
        </w:rPr>
        <w:t xml:space="preserve"> reported </w:t>
      </w:r>
      <w:r w:rsidRPr="00232537">
        <w:rPr>
          <w:rFonts w:cs="Calibri"/>
          <w:sz w:val="22"/>
          <w:szCs w:val="22"/>
        </w:rPr>
        <w:lastRenderedPageBreak/>
        <w:t xml:space="preserve">that "just one system failure could leave millions of Londoners without water. Mass evacuations, with the military on standby, could be triggered in the event of a failure" </w:t>
      </w:r>
      <w:r w:rsidRPr="00232537">
        <w:rPr>
          <w:rStyle w:val="FootnoteReference"/>
          <w:rFonts w:cs="Calibri"/>
          <w:sz w:val="22"/>
          <w:szCs w:val="22"/>
        </w:rPr>
        <w:footnoteReference w:id="8"/>
      </w:r>
      <w:r w:rsidRPr="00232537">
        <w:rPr>
          <w:rFonts w:cs="Calibri"/>
          <w:sz w:val="22"/>
          <w:szCs w:val="22"/>
        </w:rPr>
        <w:t xml:space="preserve">. </w:t>
      </w:r>
    </w:p>
    <w:p w14:paraId="04E1B1BC" w14:textId="77777777" w:rsidR="00D012D9" w:rsidRPr="00232537" w:rsidRDefault="00D012D9" w:rsidP="00D012D9">
      <w:pPr>
        <w:rPr>
          <w:rFonts w:cs="Calibri"/>
          <w:sz w:val="22"/>
          <w:szCs w:val="22"/>
        </w:rPr>
      </w:pPr>
    </w:p>
    <w:p w14:paraId="616C2A13" w14:textId="77777777" w:rsidR="00D012D9" w:rsidRPr="00232537" w:rsidRDefault="00D012D9" w:rsidP="00D012D9">
      <w:pPr>
        <w:rPr>
          <w:rFonts w:cs="Calibri"/>
          <w:sz w:val="22"/>
          <w:szCs w:val="22"/>
        </w:rPr>
      </w:pPr>
      <w:r w:rsidRPr="00232537">
        <w:rPr>
          <w:rFonts w:cs="Calibri"/>
          <w:sz w:val="22"/>
          <w:szCs w:val="22"/>
        </w:rPr>
        <w:t xml:space="preserve">In 2021 Southern Water was fined </w:t>
      </w:r>
      <w:proofErr w:type="gramStart"/>
      <w:r w:rsidRPr="00232537">
        <w:rPr>
          <w:rFonts w:cs="Calibri"/>
          <w:sz w:val="22"/>
          <w:szCs w:val="22"/>
        </w:rPr>
        <w:t>£90-million</w:t>
      </w:r>
      <w:proofErr w:type="gramEnd"/>
      <w:r w:rsidRPr="00232537">
        <w:rPr>
          <w:rFonts w:cs="Calibri"/>
          <w:sz w:val="22"/>
          <w:szCs w:val="22"/>
        </w:rPr>
        <w:t xml:space="preserve"> for illegal discharge of sewage</w:t>
      </w:r>
      <w:r w:rsidRPr="00232537">
        <w:rPr>
          <w:rStyle w:val="FootnoteReference"/>
          <w:rFonts w:cs="Calibri"/>
          <w:sz w:val="22"/>
          <w:szCs w:val="22"/>
        </w:rPr>
        <w:footnoteReference w:id="9"/>
      </w:r>
      <w:r w:rsidRPr="00232537">
        <w:rPr>
          <w:rFonts w:cs="Calibri"/>
          <w:sz w:val="22"/>
          <w:szCs w:val="22"/>
        </w:rPr>
        <w:t>, and in November 2025 it was widely reported that millions of plastic pellets from a Southern Water treatment works polluted a beach in East Sussex</w:t>
      </w:r>
      <w:r w:rsidRPr="00232537">
        <w:rPr>
          <w:rStyle w:val="FootnoteReference"/>
          <w:rFonts w:cs="Calibri"/>
          <w:sz w:val="22"/>
          <w:szCs w:val="22"/>
        </w:rPr>
        <w:footnoteReference w:id="10"/>
      </w:r>
      <w:r w:rsidRPr="00232537">
        <w:rPr>
          <w:rFonts w:cs="Calibri"/>
          <w:sz w:val="22"/>
          <w:szCs w:val="22"/>
        </w:rPr>
        <w:t xml:space="preserve">. </w:t>
      </w:r>
    </w:p>
    <w:p w14:paraId="0D96FE43" w14:textId="77777777" w:rsidR="00D012D9" w:rsidRPr="00232537" w:rsidRDefault="00D012D9" w:rsidP="00D012D9">
      <w:pPr>
        <w:rPr>
          <w:rFonts w:cs="Calibri"/>
          <w:sz w:val="22"/>
          <w:szCs w:val="22"/>
        </w:rPr>
      </w:pPr>
    </w:p>
    <w:p w14:paraId="74A4FE45" w14:textId="77777777" w:rsidR="00D012D9" w:rsidRPr="00232537" w:rsidRDefault="00D012D9" w:rsidP="00D012D9">
      <w:pPr>
        <w:rPr>
          <w:rFonts w:cs="Calibri"/>
          <w:sz w:val="22"/>
          <w:szCs w:val="22"/>
        </w:rPr>
      </w:pPr>
      <w:r w:rsidRPr="00232537">
        <w:rPr>
          <w:rFonts w:cs="Calibri"/>
          <w:sz w:val="22"/>
          <w:szCs w:val="22"/>
        </w:rPr>
        <w:t xml:space="preserve">The annual report states that another issuer in the fund is Yorkshire Water. In March 2025 the company was ordered to pay </w:t>
      </w:r>
      <w:proofErr w:type="gramStart"/>
      <w:r w:rsidRPr="00232537">
        <w:rPr>
          <w:rFonts w:cs="Calibri"/>
          <w:sz w:val="22"/>
          <w:szCs w:val="22"/>
        </w:rPr>
        <w:t>£40-million</w:t>
      </w:r>
      <w:proofErr w:type="gramEnd"/>
      <w:r w:rsidRPr="00232537">
        <w:rPr>
          <w:rFonts w:cs="Calibri"/>
          <w:sz w:val="22"/>
          <w:szCs w:val="22"/>
        </w:rPr>
        <w:t xml:space="preserve"> to address serious failures over wastewater and sewage. It was found by Ofwat to have discharged untreated wastewater into rivers for seven hours a day in 2023</w:t>
      </w:r>
      <w:r w:rsidRPr="00232537">
        <w:rPr>
          <w:rStyle w:val="FootnoteReference"/>
          <w:rFonts w:cs="Calibri"/>
          <w:sz w:val="22"/>
          <w:szCs w:val="22"/>
        </w:rPr>
        <w:footnoteReference w:id="11"/>
      </w:r>
      <w:r w:rsidRPr="00232537">
        <w:rPr>
          <w:rFonts w:cs="Calibri"/>
          <w:sz w:val="22"/>
          <w:szCs w:val="22"/>
        </w:rPr>
        <w:t>. And according to the Environment Agency</w:t>
      </w:r>
      <w:r w:rsidRPr="00232537">
        <w:rPr>
          <w:rStyle w:val="FootnoteReference"/>
          <w:rFonts w:cs="Calibri"/>
          <w:sz w:val="22"/>
          <w:szCs w:val="22"/>
        </w:rPr>
        <w:footnoteReference w:id="12"/>
      </w:r>
      <w:r w:rsidRPr="00232537">
        <w:rPr>
          <w:rFonts w:cs="Calibri"/>
          <w:sz w:val="22"/>
          <w:szCs w:val="22"/>
        </w:rPr>
        <w:t xml:space="preserve">, on 30 July 2025 the company pleaded guilty and was fined £865,000 at Sheffield Magistrates' Court after their </w:t>
      </w:r>
      <w:proofErr w:type="spellStart"/>
      <w:r w:rsidRPr="00232537">
        <w:rPr>
          <w:rFonts w:cs="Calibri"/>
          <w:sz w:val="22"/>
          <w:szCs w:val="22"/>
        </w:rPr>
        <w:t>Ingbirchworth</w:t>
      </w:r>
      <w:proofErr w:type="spellEnd"/>
      <w:r w:rsidRPr="00232537">
        <w:rPr>
          <w:rFonts w:cs="Calibri"/>
          <w:sz w:val="22"/>
          <w:szCs w:val="22"/>
        </w:rPr>
        <w:t xml:space="preserve"> Water Treatment Works illegally discharged approximately 1-million litres per day of chlorinated water into the watercourse for nearly a month in 2017. </w:t>
      </w:r>
      <w:r w:rsidRPr="00232537">
        <w:rPr>
          <w:rFonts w:cs="Calibri"/>
          <w:color w:val="0B0C0C"/>
          <w:sz w:val="22"/>
          <w:szCs w:val="22"/>
          <w:shd w:val="clear" w:color="auto" w:fill="FFFFFF"/>
        </w:rPr>
        <w:t>The court agreed that the series of failures by Yorkshire Water showed a high degree of negligence, resulting in "a prolonged and catastrophic loss of aquatic life". Passing sentence, the judge said that the company’s previous convictions, including several since this incident, suggested that despite higher fines available to courts being an incentive for Yorkshire Water to improve regulatory compliance, that incentive has had "a lukewarm reception".</w:t>
      </w:r>
    </w:p>
    <w:p w14:paraId="78BB842A" w14:textId="77777777" w:rsidR="00D012D9" w:rsidRPr="00232537" w:rsidRDefault="00D012D9" w:rsidP="00D012D9">
      <w:pPr>
        <w:rPr>
          <w:rFonts w:cs="Calibri"/>
          <w:sz w:val="22"/>
          <w:szCs w:val="22"/>
        </w:rPr>
      </w:pPr>
    </w:p>
    <w:p w14:paraId="4CCA3D10" w14:textId="77777777" w:rsidR="00D012D9" w:rsidRPr="00232537" w:rsidRDefault="00D012D9" w:rsidP="00D012D9">
      <w:pPr>
        <w:rPr>
          <w:rFonts w:cs="Calibri"/>
          <w:sz w:val="22"/>
          <w:szCs w:val="22"/>
        </w:rPr>
      </w:pPr>
      <w:r w:rsidRPr="00232537">
        <w:rPr>
          <w:rFonts w:cs="Calibri"/>
          <w:sz w:val="22"/>
          <w:szCs w:val="22"/>
        </w:rPr>
        <w:t>M&amp;G's ESG and sustainable investing integration policy states that its impact research provides a detailed analysis of companies "including an evaluation of the company's (or a bond's) contribution to Sustainable Development Goal targets and sets out the KPIs to be used for the measurement and management of the impact generated." The Trustee noted that Sustainable Development Goal 6 is clean water and sanitation, and the UN's SDG 2025 report</w:t>
      </w:r>
      <w:r w:rsidRPr="00232537">
        <w:rPr>
          <w:rStyle w:val="FootnoteReference"/>
          <w:rFonts w:cs="Calibri"/>
          <w:sz w:val="22"/>
          <w:szCs w:val="22"/>
        </w:rPr>
        <w:footnoteReference w:id="13"/>
      </w:r>
      <w:r w:rsidRPr="00232537">
        <w:rPr>
          <w:rFonts w:cs="Calibri"/>
          <w:sz w:val="22"/>
          <w:szCs w:val="22"/>
        </w:rPr>
        <w:t xml:space="preserve"> states: "Water systems are under strain from pollution, water stress and weak governance. Only 56% of domestic wastewater is safely treated, water stress remains critical in several regions, freshwater ecosystems are declining, and transboundary cooperation is limited. At the current rate, the world will not achieve sustainable water management until at least 2049."</w:t>
      </w:r>
    </w:p>
    <w:p w14:paraId="059567C2" w14:textId="77777777" w:rsidR="00D012D9" w:rsidRPr="00232537" w:rsidRDefault="00D012D9" w:rsidP="00D012D9">
      <w:pPr>
        <w:rPr>
          <w:rFonts w:cs="Calibri"/>
          <w:sz w:val="22"/>
          <w:szCs w:val="22"/>
        </w:rPr>
      </w:pPr>
    </w:p>
    <w:p w14:paraId="4FBA21E4" w14:textId="77777777" w:rsidR="00D012D9" w:rsidRPr="00232537" w:rsidRDefault="00D012D9" w:rsidP="00D012D9">
      <w:pPr>
        <w:rPr>
          <w:rFonts w:cs="Calibri"/>
          <w:sz w:val="22"/>
          <w:szCs w:val="22"/>
        </w:rPr>
      </w:pPr>
      <w:r w:rsidRPr="00232537">
        <w:rPr>
          <w:rFonts w:cs="Calibri"/>
          <w:sz w:val="22"/>
          <w:szCs w:val="22"/>
        </w:rPr>
        <w:t>It adds: "Freshwater ecosystem degradation threatens biodiversity, food security and livelihoods. Since 1970, 83 per cent of freshwater species populations have declined, and 25 per cent of freshwater fish species are at risk of extinction."</w:t>
      </w:r>
    </w:p>
    <w:p w14:paraId="32B30C4F" w14:textId="77777777" w:rsidR="00D012D9" w:rsidRPr="00232537" w:rsidRDefault="00D012D9" w:rsidP="00D012D9">
      <w:pPr>
        <w:rPr>
          <w:rFonts w:cs="Calibri"/>
          <w:sz w:val="22"/>
          <w:szCs w:val="22"/>
        </w:rPr>
      </w:pPr>
    </w:p>
    <w:p w14:paraId="19EBFC6E" w14:textId="77777777" w:rsidR="00D012D9" w:rsidRPr="00232537" w:rsidRDefault="00D012D9" w:rsidP="00D012D9">
      <w:pPr>
        <w:rPr>
          <w:rFonts w:cs="Calibri"/>
          <w:sz w:val="22"/>
          <w:szCs w:val="22"/>
        </w:rPr>
      </w:pPr>
      <w:r w:rsidRPr="00232537">
        <w:rPr>
          <w:rFonts w:cs="Calibri"/>
          <w:sz w:val="22"/>
          <w:szCs w:val="22"/>
        </w:rPr>
        <w:t xml:space="preserve">The Trustee asked M&amp;G for their comments on this, </w:t>
      </w:r>
      <w:proofErr w:type="gramStart"/>
      <w:r w:rsidRPr="00232537">
        <w:rPr>
          <w:rFonts w:cs="Calibri"/>
          <w:sz w:val="22"/>
          <w:szCs w:val="22"/>
        </w:rPr>
        <w:t>in particular what</w:t>
      </w:r>
      <w:proofErr w:type="gramEnd"/>
      <w:r w:rsidRPr="00232537">
        <w:rPr>
          <w:rFonts w:cs="Calibri"/>
          <w:sz w:val="22"/>
          <w:szCs w:val="22"/>
        </w:rPr>
        <w:t xml:space="preserve"> engagement they had had with these companies and the result of that engagement and whether M&amp;G was satisfied with the companies' responses. The Trustee asked whether M&amp;G intended to continue lending them our money given these companies' records and if so what M&amp;G's strategy is to make these companies improve, not only in relation to their shocking environmental record but also their failures of governance. </w:t>
      </w:r>
    </w:p>
    <w:p w14:paraId="0D3FD79D" w14:textId="77777777" w:rsidR="00D012D9" w:rsidRPr="00232537" w:rsidRDefault="00D012D9" w:rsidP="00D012D9">
      <w:pPr>
        <w:rPr>
          <w:rFonts w:cs="Calibri"/>
          <w:sz w:val="22"/>
          <w:szCs w:val="22"/>
        </w:rPr>
      </w:pPr>
    </w:p>
    <w:p w14:paraId="653F58BB" w14:textId="77777777" w:rsidR="00D012D9" w:rsidRPr="00232537" w:rsidRDefault="00D012D9" w:rsidP="00D012D9">
      <w:pPr>
        <w:pStyle w:val="Default"/>
        <w:rPr>
          <w:sz w:val="22"/>
          <w:szCs w:val="22"/>
        </w:rPr>
      </w:pPr>
      <w:r w:rsidRPr="00232537">
        <w:rPr>
          <w:sz w:val="22"/>
          <w:szCs w:val="22"/>
        </w:rPr>
        <w:t xml:space="preserve">M&amp;G recognised the Trustee's frustrations with some of the activities within this sector. They reiterated that the sustainability objectives of the Fund were to generate a total return from a diversified global credit portfolio while promoting environmental and social characteristics through </w:t>
      </w:r>
      <w:r w:rsidRPr="00232537">
        <w:rPr>
          <w:sz w:val="22"/>
          <w:szCs w:val="22"/>
        </w:rPr>
        <w:lastRenderedPageBreak/>
        <w:t>strict exclusions, a higher</w:t>
      </w:r>
      <w:r w:rsidRPr="00232537">
        <w:rPr>
          <w:sz w:val="22"/>
          <w:szCs w:val="22"/>
        </w:rPr>
        <w:noBreakHyphen/>
        <w:t>ESG</w:t>
      </w:r>
      <w:r w:rsidRPr="00232537">
        <w:rPr>
          <w:sz w:val="22"/>
          <w:szCs w:val="22"/>
        </w:rPr>
        <w:noBreakHyphen/>
        <w:t>quality/lower</w:t>
      </w:r>
      <w:r w:rsidRPr="00232537">
        <w:rPr>
          <w:sz w:val="22"/>
          <w:szCs w:val="22"/>
        </w:rPr>
        <w:noBreakHyphen/>
        <w:t xml:space="preserve">carbon portfolio profile, and a commitment that at least 51% of assets qualify as sustainable investments, all underpinned by ESG integration. All investments within the Fund must meet </w:t>
      </w:r>
      <w:proofErr w:type="gramStart"/>
      <w:r w:rsidRPr="00232537">
        <w:rPr>
          <w:sz w:val="22"/>
          <w:szCs w:val="22"/>
        </w:rPr>
        <w:t>this criteria</w:t>
      </w:r>
      <w:proofErr w:type="gramEnd"/>
      <w:r w:rsidRPr="00232537">
        <w:rPr>
          <w:sz w:val="22"/>
          <w:szCs w:val="22"/>
        </w:rPr>
        <w:t xml:space="preserve">. The services provided by UK water companies are considered appropriate for investment within a sustainability framework. In the UK, the provision of clean water and sewerage services is integrated within a single regulated entity, and these activities meet the criteria of delivering essential societal needs. On this basis, the UK water sector is eligible for consideration within the Fund. </w:t>
      </w:r>
    </w:p>
    <w:p w14:paraId="4A3BEEB3" w14:textId="77777777" w:rsidR="00D012D9" w:rsidRPr="00232537" w:rsidRDefault="00D012D9" w:rsidP="00D012D9">
      <w:pPr>
        <w:autoSpaceDE w:val="0"/>
        <w:autoSpaceDN w:val="0"/>
        <w:adjustRightInd w:val="0"/>
        <w:rPr>
          <w:rFonts w:cs="Calibri"/>
          <w:color w:val="000000"/>
          <w:sz w:val="22"/>
          <w:szCs w:val="22"/>
        </w:rPr>
      </w:pPr>
    </w:p>
    <w:p w14:paraId="78413106"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 xml:space="preserve">In forming a view, M&amp;G assesses the overall contribution of the sector to society while recognising historical shortcomings of the industry and, in some cases, of individual companies. In the second half of 2025, the Independent Water Commission, led by Jon Cunliffe, delivered a comprehensive critique of government policy, regulatory structures, and certain past actions taken by water companies. Importantly, the review acknowledged that fundamental reform was required. This was followed in January 2026 by a government white paper outlining the proposed direction of travel for the sector, including the establishment of a new, consolidated regulator to bring together responsibilities that had previously been fragmented. The proposals also introduced enhanced oversight measures, such as infrastructure “health checks,” aimed at improving transparency and accountability.  M&amp;G viewed this acknowledgement of structural issues, alongside the proposed reforms, as a constructive step forward, while noting that further clarity on implementation is expected from the government in the spring. </w:t>
      </w:r>
    </w:p>
    <w:p w14:paraId="7802B7E0" w14:textId="77777777" w:rsidR="00D012D9" w:rsidRPr="00232537" w:rsidRDefault="00D012D9" w:rsidP="00D012D9">
      <w:pPr>
        <w:autoSpaceDE w:val="0"/>
        <w:autoSpaceDN w:val="0"/>
        <w:adjustRightInd w:val="0"/>
        <w:rPr>
          <w:rFonts w:cs="Calibri"/>
          <w:color w:val="000000"/>
          <w:sz w:val="22"/>
          <w:szCs w:val="22"/>
        </w:rPr>
      </w:pPr>
    </w:p>
    <w:p w14:paraId="1B550097"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 xml:space="preserve">During the period in question, several water companies were experiencing significant financial stress, with management teams understandably focused on stabilising operations and strengthening their longer-term viability. In this context, M&amp;G concluded that it was not the appropriate time to pursue more forceful engagement aimed at driving operational improvements, but judged it more effective to maintain open and constructive dialogue with companies, regulators, and government stakeholders, with the objective of supporting system stability and helping to lay the foundations for a more resilient and sustainable sector over time. </w:t>
      </w:r>
    </w:p>
    <w:p w14:paraId="27047035" w14:textId="77777777" w:rsidR="00D012D9" w:rsidRPr="00232537" w:rsidRDefault="00D012D9" w:rsidP="00D012D9">
      <w:pPr>
        <w:autoSpaceDE w:val="0"/>
        <w:autoSpaceDN w:val="0"/>
        <w:adjustRightInd w:val="0"/>
        <w:rPr>
          <w:rFonts w:cs="Calibri"/>
          <w:color w:val="000000"/>
          <w:sz w:val="22"/>
          <w:szCs w:val="22"/>
        </w:rPr>
      </w:pPr>
    </w:p>
    <w:p w14:paraId="70516270" w14:textId="77777777" w:rsidR="00D012D9" w:rsidRPr="00232537" w:rsidRDefault="00D012D9" w:rsidP="00D012D9">
      <w:pPr>
        <w:autoSpaceDE w:val="0"/>
        <w:autoSpaceDN w:val="0"/>
        <w:adjustRightInd w:val="0"/>
        <w:rPr>
          <w:rFonts w:cs="Calibri"/>
          <w:color w:val="000000"/>
          <w:sz w:val="22"/>
          <w:szCs w:val="22"/>
        </w:rPr>
      </w:pPr>
      <w:r w:rsidRPr="00232537">
        <w:rPr>
          <w:rFonts w:cs="Calibri"/>
          <w:color w:val="000000"/>
          <w:sz w:val="22"/>
          <w:szCs w:val="22"/>
        </w:rPr>
        <w:t>M&amp;G felt that long-term institutional investors, such as pension schemes, have an important role to play as responsible stewards of capital in the UK water sector. With long investment horizons, a strong focus on sustainability, and clear alignment with essential public infrastructure, pension schemes are well suited to support both the ownership and funding of the industry. In this context, M&amp;</w:t>
      </w:r>
      <w:proofErr w:type="gramStart"/>
      <w:r w:rsidRPr="00232537">
        <w:rPr>
          <w:rFonts w:cs="Calibri"/>
          <w:color w:val="000000"/>
          <w:sz w:val="22"/>
          <w:szCs w:val="22"/>
        </w:rPr>
        <w:t>G  view</w:t>
      </w:r>
      <w:proofErr w:type="gramEnd"/>
      <w:r w:rsidRPr="00232537">
        <w:rPr>
          <w:rFonts w:cs="Calibri"/>
          <w:color w:val="000000"/>
          <w:sz w:val="22"/>
          <w:szCs w:val="22"/>
        </w:rPr>
        <w:t xml:space="preserve"> continued engagement as critical and consider disengagement from the sector to be counterproductive, as it would reduce the influence of responsible capital at a time when constructive stewardship is most needed. They consider active, long-term investor involvement as a key component in improving governance, supporting necessary investment, and contributing to a more resilient and sustainable water system over time.</w:t>
      </w:r>
    </w:p>
    <w:p w14:paraId="098D706F" w14:textId="77777777" w:rsidR="00D012D9" w:rsidRPr="00232537" w:rsidRDefault="00D012D9" w:rsidP="002930E3">
      <w:pPr>
        <w:rPr>
          <w:rFonts w:cs="Calibri"/>
          <w:sz w:val="22"/>
          <w:szCs w:val="22"/>
        </w:rPr>
      </w:pPr>
    </w:p>
    <w:p w14:paraId="01244376" w14:textId="77777777" w:rsidR="00D012D9" w:rsidRPr="00232537" w:rsidRDefault="00D012D9" w:rsidP="002930E3">
      <w:pPr>
        <w:rPr>
          <w:rFonts w:cs="Calibri"/>
          <w:sz w:val="22"/>
          <w:szCs w:val="22"/>
        </w:rPr>
      </w:pPr>
    </w:p>
    <w:p w14:paraId="28468053" w14:textId="77777777" w:rsidR="00D012D9" w:rsidRPr="00232537" w:rsidRDefault="00D012D9" w:rsidP="00D012D9">
      <w:pPr>
        <w:pStyle w:val="Default"/>
        <w:rPr>
          <w:b/>
          <w:bCs/>
          <w:sz w:val="22"/>
          <w:szCs w:val="22"/>
        </w:rPr>
      </w:pPr>
      <w:r w:rsidRPr="00232537">
        <w:rPr>
          <w:b/>
          <w:bCs/>
          <w:sz w:val="22"/>
          <w:szCs w:val="22"/>
        </w:rPr>
        <w:t xml:space="preserve">4.2 Royal London Asset Management Multi-Asset Credit Fund </w:t>
      </w:r>
    </w:p>
    <w:p w14:paraId="23B2B614" w14:textId="77777777" w:rsidR="00041511" w:rsidRPr="00232537" w:rsidRDefault="00041511" w:rsidP="00041511">
      <w:pPr>
        <w:rPr>
          <w:rFonts w:eastAsia="Times New Roman" w:cs="Calibri"/>
          <w:color w:val="000000"/>
          <w:sz w:val="22"/>
          <w:szCs w:val="22"/>
          <w:lang w:eastAsia="en-GB"/>
        </w:rPr>
      </w:pPr>
      <w:r w:rsidRPr="00232537">
        <w:rPr>
          <w:rFonts w:eastAsia="Times New Roman" w:cs="Calibri"/>
          <w:color w:val="000000"/>
          <w:sz w:val="22"/>
          <w:szCs w:val="22"/>
          <w:lang w:eastAsia="en-GB"/>
        </w:rPr>
        <w:t> </w:t>
      </w:r>
    </w:p>
    <w:p w14:paraId="4C7C4B8E" w14:textId="172CB436" w:rsidR="00A66F5A" w:rsidRPr="00232537" w:rsidRDefault="00A66F5A" w:rsidP="00A66F5A">
      <w:pPr>
        <w:rPr>
          <w:rFonts w:cs="Calibri"/>
          <w:sz w:val="22"/>
          <w:szCs w:val="22"/>
        </w:rPr>
      </w:pPr>
      <w:r w:rsidRPr="00232537">
        <w:rPr>
          <w:rFonts w:cs="Calibri"/>
          <w:sz w:val="22"/>
          <w:szCs w:val="22"/>
        </w:rPr>
        <w:t>The Trustee applaud</w:t>
      </w:r>
      <w:r w:rsidR="00814173" w:rsidRPr="00232537">
        <w:rPr>
          <w:rFonts w:cs="Calibri"/>
          <w:sz w:val="22"/>
          <w:szCs w:val="22"/>
        </w:rPr>
        <w:t>ed</w:t>
      </w:r>
      <w:r w:rsidRPr="00232537">
        <w:rPr>
          <w:rFonts w:cs="Calibri"/>
          <w:sz w:val="22"/>
          <w:szCs w:val="22"/>
        </w:rPr>
        <w:t xml:space="preserve"> RLAM's decision not only to reaffirm membership of the Net Zero Asset Managers Initiative but also to pursue an "NZAM+ strategy" which recognises that NZAM's new commitment statement is weaker than its previous position. RLAM head of climate transition and engagement, Carlota Garcia-Manas, stated in </w:t>
      </w:r>
      <w:r w:rsidRPr="00232537">
        <w:rPr>
          <w:rFonts w:cs="Calibri"/>
          <w:i/>
          <w:iCs/>
          <w:sz w:val="22"/>
          <w:szCs w:val="22"/>
        </w:rPr>
        <w:t xml:space="preserve">Net Zero Investor </w:t>
      </w:r>
      <w:r w:rsidRPr="00232537">
        <w:rPr>
          <w:rFonts w:cs="Calibri"/>
          <w:sz w:val="22"/>
          <w:szCs w:val="22"/>
        </w:rPr>
        <w:t xml:space="preserve">that RLAM will maintain "the ambition and integrity of our existing climate commitments even where elements of the updated NZAM framework provide greater discretion. This approach ensures continuity in our long-term climate objectives, which are informed by climate science, while aligning with our fiduciary, legal and client-mandated responsibilities."  The Trustee considered that this is a very welcome and necessary </w:t>
      </w:r>
      <w:r w:rsidRPr="00232537">
        <w:rPr>
          <w:rFonts w:cs="Calibri"/>
          <w:sz w:val="22"/>
          <w:szCs w:val="22"/>
        </w:rPr>
        <w:lastRenderedPageBreak/>
        <w:t xml:space="preserve">move on the part of RLAM. </w:t>
      </w:r>
      <w:proofErr w:type="gramStart"/>
      <w:r w:rsidRPr="00232537">
        <w:rPr>
          <w:rFonts w:cs="Calibri"/>
          <w:sz w:val="22"/>
          <w:szCs w:val="22"/>
        </w:rPr>
        <w:t>It would appear that the</w:t>
      </w:r>
      <w:proofErr w:type="gramEnd"/>
      <w:r w:rsidRPr="00232537">
        <w:rPr>
          <w:rFonts w:cs="Calibri"/>
          <w:sz w:val="22"/>
          <w:szCs w:val="22"/>
        </w:rPr>
        <w:t xml:space="preserve"> weakened commitments of the Net Zero Asset Managers Initiative are driven not by science but by politics. </w:t>
      </w:r>
    </w:p>
    <w:p w14:paraId="576B5449" w14:textId="77777777" w:rsidR="00A66F5A" w:rsidRPr="00232537" w:rsidRDefault="00A66F5A" w:rsidP="00A66F5A">
      <w:pPr>
        <w:rPr>
          <w:rFonts w:cs="Calibri"/>
          <w:sz w:val="22"/>
          <w:szCs w:val="22"/>
        </w:rPr>
      </w:pPr>
    </w:p>
    <w:p w14:paraId="4B8D5C38" w14:textId="584FD01F" w:rsidR="00A66F5A" w:rsidRPr="00232537" w:rsidRDefault="00814173" w:rsidP="00A66F5A">
      <w:pPr>
        <w:rPr>
          <w:rFonts w:cs="Calibri"/>
          <w:sz w:val="22"/>
          <w:szCs w:val="22"/>
        </w:rPr>
      </w:pPr>
      <w:r w:rsidRPr="00232537">
        <w:rPr>
          <w:rFonts w:cs="Calibri"/>
          <w:sz w:val="22"/>
          <w:szCs w:val="22"/>
        </w:rPr>
        <w:t xml:space="preserve">RLAM's TCFD Product Report for the fund dated October 2025 indicated </w:t>
      </w:r>
      <w:r w:rsidR="002F600C" w:rsidRPr="00232537">
        <w:rPr>
          <w:rFonts w:cs="Calibri"/>
          <w:sz w:val="22"/>
          <w:szCs w:val="22"/>
        </w:rPr>
        <w:t>t</w:t>
      </w:r>
      <w:r w:rsidRPr="00232537">
        <w:rPr>
          <w:rFonts w:cs="Calibri"/>
          <w:sz w:val="22"/>
          <w:szCs w:val="22"/>
        </w:rPr>
        <w:t xml:space="preserve">hat the fund's implied temperature rise had reduced from 3.4°c in 2024 to 2°c in 2025, a year-on-year reduction of 40.1%. This compared favourably with a benchmark of 3.6°c. </w:t>
      </w:r>
    </w:p>
    <w:p w14:paraId="7D2198E8" w14:textId="77777777" w:rsidR="00A66F5A" w:rsidRPr="00232537" w:rsidRDefault="00A66F5A" w:rsidP="00A66F5A">
      <w:pPr>
        <w:rPr>
          <w:rFonts w:cs="Calibri"/>
          <w:sz w:val="22"/>
          <w:szCs w:val="22"/>
        </w:rPr>
      </w:pPr>
    </w:p>
    <w:p w14:paraId="0CF3EF26" w14:textId="1A3C93B0" w:rsidR="00A66F5A" w:rsidRPr="00232537" w:rsidRDefault="002F600C" w:rsidP="00A66F5A">
      <w:pPr>
        <w:rPr>
          <w:rFonts w:cs="Calibri"/>
          <w:color w:val="000000" w:themeColor="text1"/>
          <w:sz w:val="22"/>
          <w:szCs w:val="22"/>
        </w:rPr>
      </w:pPr>
      <w:r w:rsidRPr="00232537">
        <w:rPr>
          <w:rFonts w:cs="Calibri"/>
          <w:color w:val="000000" w:themeColor="text1"/>
          <w:sz w:val="22"/>
          <w:szCs w:val="22"/>
        </w:rPr>
        <w:t>The Trustee was pleased to see RLAM's continued growth in coverage and the improvement of several metrics (</w:t>
      </w:r>
      <w:r w:rsidRPr="00232537">
        <w:rPr>
          <w:rFonts w:cs="Calibri"/>
          <w:i/>
          <w:iCs/>
          <w:color w:val="000000" w:themeColor="text1"/>
          <w:sz w:val="22"/>
          <w:szCs w:val="22"/>
        </w:rPr>
        <w:t>see point 6, below</w:t>
      </w:r>
      <w:r w:rsidRPr="00232537">
        <w:rPr>
          <w:rFonts w:cs="Calibri"/>
          <w:color w:val="000000" w:themeColor="text1"/>
          <w:sz w:val="22"/>
          <w:szCs w:val="22"/>
        </w:rPr>
        <w:t>).</w:t>
      </w:r>
    </w:p>
    <w:p w14:paraId="35E311D8" w14:textId="315BC424" w:rsidR="00041511" w:rsidRPr="00232537" w:rsidRDefault="00041511" w:rsidP="00041511">
      <w:pPr>
        <w:rPr>
          <w:rFonts w:eastAsia="Times New Roman" w:cs="Calibri"/>
          <w:color w:val="000000"/>
          <w:sz w:val="22"/>
          <w:szCs w:val="22"/>
          <w:lang w:eastAsia="en-GB"/>
        </w:rPr>
      </w:pPr>
      <w:r w:rsidRPr="00232537">
        <w:rPr>
          <w:rFonts w:eastAsia="Times New Roman" w:cs="Calibri"/>
          <w:color w:val="000000"/>
          <w:sz w:val="22"/>
          <w:szCs w:val="22"/>
          <w:lang w:eastAsia="en-GB"/>
        </w:rPr>
        <w:t> </w:t>
      </w:r>
    </w:p>
    <w:p w14:paraId="63305DAA" w14:textId="77777777" w:rsidR="00041511" w:rsidRPr="00232537" w:rsidRDefault="00041511" w:rsidP="00041511">
      <w:pPr>
        <w:rPr>
          <w:rFonts w:eastAsia="Times New Roman" w:cs="Calibri"/>
          <w:color w:val="000000"/>
          <w:sz w:val="22"/>
          <w:szCs w:val="22"/>
          <w:lang w:eastAsia="en-GB"/>
        </w:rPr>
      </w:pPr>
      <w:r w:rsidRPr="00232537">
        <w:rPr>
          <w:rFonts w:eastAsia="Times New Roman" w:cs="Calibri"/>
          <w:b/>
          <w:bCs/>
          <w:color w:val="000000"/>
          <w:sz w:val="22"/>
          <w:szCs w:val="22"/>
          <w:lang w:eastAsia="en-GB"/>
        </w:rPr>
        <w:t>Amazon:</w:t>
      </w:r>
    </w:p>
    <w:p w14:paraId="636E0962" w14:textId="1E6BCE65" w:rsidR="002A4E7C" w:rsidRPr="00232537" w:rsidRDefault="00A9653D" w:rsidP="002A4E7C">
      <w:pPr>
        <w:rPr>
          <w:rFonts w:cs="Calibri"/>
          <w:color w:val="000000" w:themeColor="text1"/>
          <w:sz w:val="22"/>
          <w:szCs w:val="22"/>
        </w:rPr>
      </w:pPr>
      <w:r w:rsidRPr="00232537">
        <w:rPr>
          <w:rFonts w:eastAsia="Times New Roman" w:cs="Calibri"/>
          <w:color w:val="000000"/>
          <w:sz w:val="22"/>
          <w:szCs w:val="22"/>
          <w:lang w:eastAsia="en-GB"/>
        </w:rPr>
        <w:t xml:space="preserve">The Trustee had previously </w:t>
      </w:r>
      <w:r w:rsidR="002A4E7C" w:rsidRPr="00232537">
        <w:rPr>
          <w:rFonts w:cs="Calibri"/>
          <w:color w:val="000000" w:themeColor="text1"/>
          <w:sz w:val="22"/>
          <w:szCs w:val="22"/>
        </w:rPr>
        <w:t>welcome</w:t>
      </w:r>
      <w:r w:rsidRPr="00232537">
        <w:rPr>
          <w:rFonts w:cs="Calibri"/>
          <w:color w:val="000000" w:themeColor="text1"/>
          <w:sz w:val="22"/>
          <w:szCs w:val="22"/>
        </w:rPr>
        <w:t>d RLAM's</w:t>
      </w:r>
      <w:r w:rsidR="002A4E7C" w:rsidRPr="00232537">
        <w:rPr>
          <w:rFonts w:cs="Calibri"/>
          <w:color w:val="000000" w:themeColor="text1"/>
          <w:sz w:val="22"/>
          <w:szCs w:val="22"/>
        </w:rPr>
        <w:t xml:space="preserve"> engagement with Amazon</w:t>
      </w:r>
      <w:r w:rsidRPr="00232537">
        <w:rPr>
          <w:rFonts w:cs="Calibri"/>
          <w:color w:val="000000" w:themeColor="text1"/>
          <w:sz w:val="22"/>
          <w:szCs w:val="22"/>
        </w:rPr>
        <w:t xml:space="preserve">, with which the Multi-asset Credit Fund held a position, </w:t>
      </w:r>
      <w:r w:rsidR="002A4E7C" w:rsidRPr="00232537">
        <w:rPr>
          <w:rFonts w:cs="Calibri"/>
          <w:color w:val="000000" w:themeColor="text1"/>
          <w:sz w:val="22"/>
          <w:szCs w:val="22"/>
        </w:rPr>
        <w:t>on the matters of freedom of association (trade union recognition) and race discrimination</w:t>
      </w:r>
      <w:r w:rsidRPr="00232537">
        <w:rPr>
          <w:rFonts w:cs="Calibri"/>
          <w:color w:val="000000" w:themeColor="text1"/>
          <w:sz w:val="22"/>
          <w:szCs w:val="22"/>
        </w:rPr>
        <w:t xml:space="preserve">: </w:t>
      </w:r>
      <w:r w:rsidR="002A4E7C" w:rsidRPr="00232537">
        <w:rPr>
          <w:rFonts w:cs="Calibri"/>
          <w:color w:val="000000" w:themeColor="text1"/>
          <w:sz w:val="22"/>
          <w:szCs w:val="22"/>
        </w:rPr>
        <w:t xml:space="preserve"> RLAM ha</w:t>
      </w:r>
      <w:r w:rsidRPr="00232537">
        <w:rPr>
          <w:rFonts w:cs="Calibri"/>
          <w:color w:val="000000" w:themeColor="text1"/>
          <w:sz w:val="22"/>
          <w:szCs w:val="22"/>
        </w:rPr>
        <w:t>d</w:t>
      </w:r>
      <w:r w:rsidR="002A4E7C" w:rsidRPr="00232537">
        <w:rPr>
          <w:rFonts w:cs="Calibri"/>
          <w:color w:val="000000" w:themeColor="text1"/>
          <w:sz w:val="22"/>
          <w:szCs w:val="22"/>
        </w:rPr>
        <w:t xml:space="preserve"> supported shareholder resolutions on this for three consecutive years. </w:t>
      </w:r>
      <w:r w:rsidRPr="00232537">
        <w:rPr>
          <w:rFonts w:cs="Calibri"/>
          <w:color w:val="000000" w:themeColor="text1"/>
          <w:sz w:val="22"/>
          <w:szCs w:val="22"/>
        </w:rPr>
        <w:t>The Trustee</w:t>
      </w:r>
      <w:r w:rsidR="002A4E7C" w:rsidRPr="00232537">
        <w:rPr>
          <w:rFonts w:cs="Calibri"/>
          <w:color w:val="000000" w:themeColor="text1"/>
          <w:sz w:val="22"/>
          <w:szCs w:val="22"/>
        </w:rPr>
        <w:t xml:space="preserve"> </w:t>
      </w:r>
      <w:r w:rsidRPr="00232537">
        <w:rPr>
          <w:rFonts w:cs="Calibri"/>
          <w:color w:val="000000" w:themeColor="text1"/>
          <w:sz w:val="22"/>
          <w:szCs w:val="22"/>
        </w:rPr>
        <w:t xml:space="preserve">had </w:t>
      </w:r>
      <w:r w:rsidR="002A4E7C" w:rsidRPr="00232537">
        <w:rPr>
          <w:rFonts w:cs="Calibri"/>
          <w:color w:val="000000" w:themeColor="text1"/>
          <w:sz w:val="22"/>
          <w:szCs w:val="22"/>
        </w:rPr>
        <w:t xml:space="preserve">asked what escalation </w:t>
      </w:r>
      <w:r w:rsidRPr="00232537">
        <w:rPr>
          <w:rFonts w:cs="Calibri"/>
          <w:color w:val="000000" w:themeColor="text1"/>
          <w:sz w:val="22"/>
          <w:szCs w:val="22"/>
        </w:rPr>
        <w:t>they</w:t>
      </w:r>
      <w:r w:rsidR="002A4E7C" w:rsidRPr="00232537">
        <w:rPr>
          <w:rFonts w:cs="Calibri"/>
          <w:color w:val="000000" w:themeColor="text1"/>
          <w:sz w:val="22"/>
          <w:szCs w:val="22"/>
        </w:rPr>
        <w:t xml:space="preserve"> </w:t>
      </w:r>
      <w:r w:rsidRPr="00232537">
        <w:rPr>
          <w:rFonts w:cs="Calibri"/>
          <w:color w:val="000000" w:themeColor="text1"/>
          <w:sz w:val="22"/>
          <w:szCs w:val="22"/>
        </w:rPr>
        <w:t>were</w:t>
      </w:r>
      <w:r w:rsidR="002A4E7C" w:rsidRPr="00232537">
        <w:rPr>
          <w:rFonts w:cs="Calibri"/>
          <w:color w:val="000000" w:themeColor="text1"/>
          <w:sz w:val="22"/>
          <w:szCs w:val="22"/>
        </w:rPr>
        <w:t xml:space="preserve"> planning since Amazon had ignored </w:t>
      </w:r>
      <w:r w:rsidRPr="00232537">
        <w:rPr>
          <w:rFonts w:cs="Calibri"/>
          <w:color w:val="000000" w:themeColor="text1"/>
          <w:sz w:val="22"/>
          <w:szCs w:val="22"/>
        </w:rPr>
        <w:t>RLAM's</w:t>
      </w:r>
      <w:r w:rsidR="002A4E7C" w:rsidRPr="00232537">
        <w:rPr>
          <w:rFonts w:cs="Calibri"/>
          <w:color w:val="000000" w:themeColor="text1"/>
          <w:sz w:val="22"/>
          <w:szCs w:val="22"/>
        </w:rPr>
        <w:t xml:space="preserve"> voting and engagement</w:t>
      </w:r>
      <w:r w:rsidRPr="00232537">
        <w:rPr>
          <w:rFonts w:cs="Calibri"/>
          <w:color w:val="000000" w:themeColor="text1"/>
          <w:sz w:val="22"/>
          <w:szCs w:val="22"/>
        </w:rPr>
        <w:t>, and</w:t>
      </w:r>
      <w:r w:rsidR="002A4E7C" w:rsidRPr="00232537">
        <w:rPr>
          <w:rFonts w:cs="Calibri"/>
          <w:color w:val="000000" w:themeColor="text1"/>
          <w:sz w:val="22"/>
          <w:szCs w:val="22"/>
        </w:rPr>
        <w:t xml:space="preserve"> </w:t>
      </w:r>
      <w:r w:rsidRPr="00232537">
        <w:rPr>
          <w:rFonts w:cs="Calibri"/>
          <w:color w:val="000000" w:themeColor="text1"/>
          <w:sz w:val="22"/>
          <w:szCs w:val="22"/>
        </w:rPr>
        <w:t>RLAM had responded that as they were overweight in investment grade credit they had reduced their allocation and Amazon was one of the creditors sold</w:t>
      </w:r>
      <w:r w:rsidR="002A4E7C" w:rsidRPr="00232537">
        <w:rPr>
          <w:rFonts w:cs="Calibri"/>
          <w:color w:val="000000" w:themeColor="text1"/>
          <w:sz w:val="22"/>
          <w:szCs w:val="22"/>
        </w:rPr>
        <w:t xml:space="preserve">. </w:t>
      </w:r>
      <w:r w:rsidRPr="00232537">
        <w:rPr>
          <w:rFonts w:cs="Calibri"/>
          <w:color w:val="000000" w:themeColor="text1"/>
          <w:sz w:val="22"/>
          <w:szCs w:val="22"/>
        </w:rPr>
        <w:t>They had added that as</w:t>
      </w:r>
      <w:r w:rsidR="002A4E7C" w:rsidRPr="00232537">
        <w:rPr>
          <w:rFonts w:cs="Calibri"/>
          <w:color w:val="000000" w:themeColor="text1"/>
          <w:sz w:val="22"/>
          <w:szCs w:val="22"/>
        </w:rPr>
        <w:t xml:space="preserve"> a business </w:t>
      </w:r>
      <w:r w:rsidRPr="00232537">
        <w:rPr>
          <w:rFonts w:cs="Calibri"/>
          <w:color w:val="000000" w:themeColor="text1"/>
          <w:sz w:val="22"/>
          <w:szCs w:val="22"/>
        </w:rPr>
        <w:t>they</w:t>
      </w:r>
      <w:r w:rsidR="002A4E7C" w:rsidRPr="00232537">
        <w:rPr>
          <w:rFonts w:cs="Calibri"/>
          <w:color w:val="000000" w:themeColor="text1"/>
          <w:sz w:val="22"/>
          <w:szCs w:val="22"/>
        </w:rPr>
        <w:t xml:space="preserve"> do continue to engage with Amazon, and </w:t>
      </w:r>
      <w:r w:rsidRPr="00232537">
        <w:rPr>
          <w:rFonts w:cs="Calibri"/>
          <w:color w:val="000000" w:themeColor="text1"/>
          <w:sz w:val="22"/>
          <w:szCs w:val="22"/>
        </w:rPr>
        <w:t>the</w:t>
      </w:r>
      <w:r w:rsidR="002A4E7C" w:rsidRPr="00232537">
        <w:rPr>
          <w:rFonts w:cs="Calibri"/>
          <w:color w:val="000000" w:themeColor="text1"/>
          <w:sz w:val="22"/>
          <w:szCs w:val="22"/>
        </w:rPr>
        <w:t xml:space="preserve"> Responsible Investment team </w:t>
      </w:r>
      <w:r w:rsidRPr="00232537">
        <w:rPr>
          <w:rFonts w:cs="Calibri"/>
          <w:color w:val="000000" w:themeColor="text1"/>
          <w:sz w:val="22"/>
          <w:szCs w:val="22"/>
        </w:rPr>
        <w:t>would be</w:t>
      </w:r>
      <w:r w:rsidR="002A4E7C" w:rsidRPr="00232537">
        <w:rPr>
          <w:rFonts w:cs="Calibri"/>
          <w:color w:val="000000" w:themeColor="text1"/>
          <w:sz w:val="22"/>
          <w:szCs w:val="22"/>
        </w:rPr>
        <w:t xml:space="preserve"> meeting with Amazon representatives to discuss these points.</w:t>
      </w:r>
      <w:r w:rsidRPr="00232537">
        <w:rPr>
          <w:rFonts w:cs="Calibri"/>
          <w:color w:val="000000" w:themeColor="text1"/>
          <w:sz w:val="22"/>
          <w:szCs w:val="22"/>
        </w:rPr>
        <w:t xml:space="preserve"> The Trustee </w:t>
      </w:r>
      <w:r w:rsidR="002A4E7C" w:rsidRPr="00232537">
        <w:rPr>
          <w:rFonts w:cs="Calibri"/>
          <w:sz w:val="22"/>
          <w:szCs w:val="22"/>
        </w:rPr>
        <w:t>welcome</w:t>
      </w:r>
      <w:r w:rsidRPr="00232537">
        <w:rPr>
          <w:rFonts w:cs="Calibri"/>
          <w:sz w:val="22"/>
          <w:szCs w:val="22"/>
        </w:rPr>
        <w:t>d</w:t>
      </w:r>
      <w:r w:rsidR="002A4E7C" w:rsidRPr="00232537">
        <w:rPr>
          <w:rFonts w:cs="Calibri"/>
          <w:sz w:val="22"/>
          <w:szCs w:val="22"/>
        </w:rPr>
        <w:t xml:space="preserve"> the disinvestment of the fund's allocation in Amazon</w:t>
      </w:r>
      <w:r w:rsidRPr="00232537">
        <w:rPr>
          <w:rFonts w:cs="Calibri"/>
          <w:sz w:val="22"/>
          <w:szCs w:val="22"/>
        </w:rPr>
        <w:t xml:space="preserve"> but added that the Trustee </w:t>
      </w:r>
      <w:proofErr w:type="gramStart"/>
      <w:r w:rsidRPr="00232537">
        <w:rPr>
          <w:rFonts w:cs="Calibri"/>
          <w:sz w:val="22"/>
          <w:szCs w:val="22"/>
        </w:rPr>
        <w:t xml:space="preserve">was </w:t>
      </w:r>
      <w:r w:rsidR="002A4E7C" w:rsidRPr="00232537">
        <w:rPr>
          <w:rFonts w:cs="Calibri"/>
          <w:sz w:val="22"/>
          <w:szCs w:val="22"/>
        </w:rPr>
        <w:t xml:space="preserve"> very</w:t>
      </w:r>
      <w:proofErr w:type="gramEnd"/>
      <w:r w:rsidR="002A4E7C" w:rsidRPr="00232537">
        <w:rPr>
          <w:rFonts w:cs="Calibri"/>
          <w:sz w:val="22"/>
          <w:szCs w:val="22"/>
        </w:rPr>
        <w:t xml:space="preserve"> interested in the outcome of the meeting</w:t>
      </w:r>
      <w:r w:rsidRPr="00232537">
        <w:rPr>
          <w:rFonts w:cs="Calibri"/>
          <w:sz w:val="22"/>
          <w:szCs w:val="22"/>
        </w:rPr>
        <w:t>.</w:t>
      </w:r>
    </w:p>
    <w:p w14:paraId="51862690" w14:textId="0F6AE872" w:rsidR="00041511" w:rsidRPr="00232537" w:rsidRDefault="00041511" w:rsidP="00041511">
      <w:pPr>
        <w:rPr>
          <w:rFonts w:eastAsia="Times New Roman" w:cs="Calibri"/>
          <w:color w:val="000000"/>
          <w:sz w:val="22"/>
          <w:szCs w:val="22"/>
          <w:lang w:eastAsia="en-GB"/>
        </w:rPr>
      </w:pPr>
    </w:p>
    <w:p w14:paraId="22823A0E" w14:textId="38DD7C17" w:rsidR="00041511" w:rsidRPr="00232537" w:rsidRDefault="00A9653D"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RLAM reported that f</w:t>
      </w:r>
      <w:r w:rsidR="00041511" w:rsidRPr="00232537">
        <w:rPr>
          <w:rFonts w:eastAsia="Times New Roman" w:cs="Calibri"/>
          <w:color w:val="000000" w:themeColor="text1"/>
          <w:sz w:val="22"/>
          <w:szCs w:val="22"/>
          <w:lang w:eastAsia="en-GB"/>
        </w:rPr>
        <w:t xml:space="preserve">ollowing client feedback and </w:t>
      </w:r>
      <w:r w:rsidRPr="00232537">
        <w:rPr>
          <w:rFonts w:eastAsia="Times New Roman" w:cs="Calibri"/>
          <w:color w:val="000000" w:themeColor="text1"/>
          <w:sz w:val="22"/>
          <w:szCs w:val="22"/>
          <w:lang w:eastAsia="en-GB"/>
        </w:rPr>
        <w:t>their</w:t>
      </w:r>
      <w:r w:rsidR="00041511" w:rsidRPr="00232537">
        <w:rPr>
          <w:rFonts w:eastAsia="Times New Roman" w:cs="Calibri"/>
          <w:color w:val="000000" w:themeColor="text1"/>
          <w:sz w:val="22"/>
          <w:szCs w:val="22"/>
          <w:lang w:eastAsia="en-GB"/>
        </w:rPr>
        <w:t xml:space="preserve"> voting activity, </w:t>
      </w:r>
      <w:r w:rsidRPr="00232537">
        <w:rPr>
          <w:rFonts w:eastAsia="Times New Roman" w:cs="Calibri"/>
          <w:color w:val="000000" w:themeColor="text1"/>
          <w:sz w:val="22"/>
          <w:szCs w:val="22"/>
          <w:lang w:eastAsia="en-GB"/>
        </w:rPr>
        <w:t>they</w:t>
      </w:r>
      <w:r w:rsidR="00041511" w:rsidRPr="00232537">
        <w:rPr>
          <w:rFonts w:eastAsia="Times New Roman" w:cs="Calibri"/>
          <w:color w:val="000000" w:themeColor="text1"/>
          <w:sz w:val="22"/>
          <w:szCs w:val="22"/>
          <w:lang w:eastAsia="en-GB"/>
        </w:rPr>
        <w:t xml:space="preserve"> held further engagements with Amazon to discuss freedom of association, diversity &amp; inclusion (including race discrimination concerns), and related workforce practices. Amazon reiterated that the </w:t>
      </w:r>
      <w:r w:rsidRPr="00232537">
        <w:rPr>
          <w:rFonts w:eastAsia="Times New Roman" w:cs="Calibri"/>
          <w:color w:val="000000" w:themeColor="text1"/>
          <w:sz w:val="22"/>
          <w:szCs w:val="22"/>
          <w:lang w:eastAsia="en-GB"/>
        </w:rPr>
        <w:t>b</w:t>
      </w:r>
      <w:r w:rsidR="00041511" w:rsidRPr="00232537">
        <w:rPr>
          <w:rFonts w:eastAsia="Times New Roman" w:cs="Calibri"/>
          <w:color w:val="000000" w:themeColor="text1"/>
          <w:sz w:val="22"/>
          <w:szCs w:val="22"/>
          <w:lang w:eastAsia="en-GB"/>
        </w:rPr>
        <w:t xml:space="preserve">oard oversees its human rights policy (including respect for collective bargaining) and described ongoing workforce-focused initiatives and disclosures. On diversity &amp; inclusion, Amazon reaffirmed its commitment and noted recent </w:t>
      </w:r>
      <w:r w:rsidRPr="00232537">
        <w:rPr>
          <w:rFonts w:eastAsia="Times New Roman" w:cs="Calibri"/>
          <w:color w:val="000000" w:themeColor="text1"/>
          <w:sz w:val="22"/>
          <w:szCs w:val="22"/>
          <w:lang w:eastAsia="en-GB"/>
        </w:rPr>
        <w:t>b</w:t>
      </w:r>
      <w:r w:rsidR="00041511" w:rsidRPr="00232537">
        <w:rPr>
          <w:rFonts w:eastAsia="Times New Roman" w:cs="Calibri"/>
          <w:color w:val="000000" w:themeColor="text1"/>
          <w:sz w:val="22"/>
          <w:szCs w:val="22"/>
          <w:lang w:eastAsia="en-GB"/>
        </w:rPr>
        <w:t xml:space="preserve">oard-level discussion through relevant </w:t>
      </w:r>
      <w:proofErr w:type="gramStart"/>
      <w:r w:rsidR="00041511" w:rsidRPr="00232537">
        <w:rPr>
          <w:rFonts w:eastAsia="Times New Roman" w:cs="Calibri"/>
          <w:color w:val="000000" w:themeColor="text1"/>
          <w:sz w:val="22"/>
          <w:szCs w:val="22"/>
          <w:lang w:eastAsia="en-GB"/>
        </w:rPr>
        <w:t>committees, and</w:t>
      </w:r>
      <w:proofErr w:type="gramEnd"/>
      <w:r w:rsidR="00041511" w:rsidRPr="00232537">
        <w:rPr>
          <w:rFonts w:eastAsia="Times New Roman" w:cs="Calibri"/>
          <w:color w:val="000000" w:themeColor="text1"/>
          <w:sz w:val="22"/>
          <w:szCs w:val="22"/>
          <w:lang w:eastAsia="en-GB"/>
        </w:rPr>
        <w:t xml:space="preserve"> confirmed its racial equity audit was completed in 2024, stating it reviewed processes end-to-end and informed iterative improvements.</w:t>
      </w:r>
    </w:p>
    <w:p w14:paraId="78F9F975" w14:textId="77777777"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w:t>
      </w:r>
    </w:p>
    <w:p w14:paraId="28E3FD8F" w14:textId="334A4901"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xml:space="preserve">Reflecting this dialogue and evidence of improved safety outcomes, </w:t>
      </w:r>
      <w:r w:rsidR="00A9653D" w:rsidRPr="00232537">
        <w:rPr>
          <w:rFonts w:eastAsia="Times New Roman" w:cs="Calibri"/>
          <w:color w:val="000000" w:themeColor="text1"/>
          <w:sz w:val="22"/>
          <w:szCs w:val="22"/>
          <w:lang w:eastAsia="en-GB"/>
        </w:rPr>
        <w:t>RLAM subsequently</w:t>
      </w:r>
      <w:r w:rsidRPr="00232537">
        <w:rPr>
          <w:rFonts w:eastAsia="Times New Roman" w:cs="Calibri"/>
          <w:color w:val="000000" w:themeColor="text1"/>
          <w:sz w:val="22"/>
          <w:szCs w:val="22"/>
          <w:lang w:eastAsia="en-GB"/>
        </w:rPr>
        <w:t xml:space="preserve"> abstained on the shareholder proposal requesting an independent audit of working conditions, while continuing to signal escalation on labour-rights oversight by voting against the re</w:t>
      </w:r>
      <w:r w:rsidRPr="00232537">
        <w:rPr>
          <w:rFonts w:eastAsia="Times New Roman" w:cs="Calibri"/>
          <w:color w:val="000000" w:themeColor="text1"/>
          <w:sz w:val="22"/>
          <w:szCs w:val="22"/>
          <w:lang w:eastAsia="en-GB"/>
        </w:rPr>
        <w:noBreakHyphen/>
        <w:t>election of Jonathan J. Rubinstein (</w:t>
      </w:r>
      <w:r w:rsidR="00A9653D" w:rsidRPr="00232537">
        <w:rPr>
          <w:rFonts w:eastAsia="Times New Roman" w:cs="Calibri"/>
          <w:color w:val="000000" w:themeColor="text1"/>
          <w:sz w:val="22"/>
          <w:szCs w:val="22"/>
          <w:lang w:eastAsia="en-GB"/>
        </w:rPr>
        <w:t>c</w:t>
      </w:r>
      <w:r w:rsidRPr="00232537">
        <w:rPr>
          <w:rFonts w:eastAsia="Times New Roman" w:cs="Calibri"/>
          <w:color w:val="000000" w:themeColor="text1"/>
          <w:sz w:val="22"/>
          <w:szCs w:val="22"/>
          <w:lang w:eastAsia="en-GB"/>
        </w:rPr>
        <w:t xml:space="preserve">hair of the </w:t>
      </w:r>
      <w:r w:rsidR="00A9653D" w:rsidRPr="00232537">
        <w:rPr>
          <w:rFonts w:eastAsia="Times New Roman" w:cs="Calibri"/>
          <w:color w:val="000000" w:themeColor="text1"/>
          <w:sz w:val="22"/>
          <w:szCs w:val="22"/>
          <w:lang w:eastAsia="en-GB"/>
        </w:rPr>
        <w:t>E</w:t>
      </w:r>
      <w:r w:rsidRPr="00232537">
        <w:rPr>
          <w:rFonts w:eastAsia="Times New Roman" w:cs="Calibri"/>
          <w:color w:val="000000" w:themeColor="text1"/>
          <w:sz w:val="22"/>
          <w:szCs w:val="22"/>
          <w:lang w:eastAsia="en-GB"/>
        </w:rPr>
        <w:t xml:space="preserve">&amp;S </w:t>
      </w:r>
      <w:r w:rsidR="00A9653D" w:rsidRPr="00232537">
        <w:rPr>
          <w:rFonts w:eastAsia="Times New Roman" w:cs="Calibri"/>
          <w:color w:val="000000" w:themeColor="text1"/>
          <w:sz w:val="22"/>
          <w:szCs w:val="22"/>
          <w:lang w:eastAsia="en-GB"/>
        </w:rPr>
        <w:t>c</w:t>
      </w:r>
      <w:r w:rsidRPr="00232537">
        <w:rPr>
          <w:rFonts w:eastAsia="Times New Roman" w:cs="Calibri"/>
          <w:color w:val="000000" w:themeColor="text1"/>
          <w:sz w:val="22"/>
          <w:szCs w:val="22"/>
          <w:lang w:eastAsia="en-GB"/>
        </w:rPr>
        <w:t>ommittee) and reiterating support for an independent assessment of adherence to freedom of association and collective bargaining commitments. </w:t>
      </w:r>
    </w:p>
    <w:p w14:paraId="4D831AC2" w14:textId="77777777"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w:t>
      </w:r>
    </w:p>
    <w:p w14:paraId="39A66D14" w14:textId="0BB9D094" w:rsidR="00041511" w:rsidRPr="00232537" w:rsidRDefault="00A9653D"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RLAM stated that they</w:t>
      </w:r>
      <w:r w:rsidR="00041511" w:rsidRPr="00232537">
        <w:rPr>
          <w:rFonts w:eastAsia="Times New Roman" w:cs="Calibri"/>
          <w:color w:val="000000" w:themeColor="text1"/>
          <w:sz w:val="22"/>
          <w:szCs w:val="22"/>
          <w:lang w:eastAsia="en-GB"/>
        </w:rPr>
        <w:t xml:space="preserve"> will continue to assess progress through ongoing engagement and monitoring of disclosures and external outcomes and calibrate escalation (including through the continued use of </w:t>
      </w:r>
      <w:r w:rsidRPr="00232537">
        <w:rPr>
          <w:rFonts w:eastAsia="Times New Roman" w:cs="Calibri"/>
          <w:color w:val="000000" w:themeColor="text1"/>
          <w:sz w:val="22"/>
          <w:szCs w:val="22"/>
          <w:lang w:eastAsia="en-GB"/>
        </w:rPr>
        <w:t>RLAM's</w:t>
      </w:r>
      <w:r w:rsidR="00041511" w:rsidRPr="00232537">
        <w:rPr>
          <w:rFonts w:eastAsia="Times New Roman" w:cs="Calibri"/>
          <w:color w:val="000000" w:themeColor="text1"/>
          <w:sz w:val="22"/>
          <w:szCs w:val="22"/>
          <w:lang w:eastAsia="en-GB"/>
        </w:rPr>
        <w:t xml:space="preserve"> voting rights) if progress does not meet </w:t>
      </w:r>
      <w:r w:rsidRPr="00232537">
        <w:rPr>
          <w:rFonts w:eastAsia="Times New Roman" w:cs="Calibri"/>
          <w:color w:val="000000" w:themeColor="text1"/>
          <w:sz w:val="22"/>
          <w:szCs w:val="22"/>
          <w:lang w:eastAsia="en-GB"/>
        </w:rPr>
        <w:t>their</w:t>
      </w:r>
      <w:r w:rsidR="00041511" w:rsidRPr="00232537">
        <w:rPr>
          <w:rFonts w:eastAsia="Times New Roman" w:cs="Calibri"/>
          <w:color w:val="000000" w:themeColor="text1"/>
          <w:sz w:val="22"/>
          <w:szCs w:val="22"/>
          <w:lang w:eastAsia="en-GB"/>
        </w:rPr>
        <w:t xml:space="preserve"> expectations.</w:t>
      </w:r>
    </w:p>
    <w:p w14:paraId="34C40637" w14:textId="77777777" w:rsidR="00A9653D" w:rsidRPr="00232537" w:rsidRDefault="00041511" w:rsidP="00A9653D">
      <w:pPr>
        <w:rPr>
          <w:rFonts w:eastAsia="Times New Roman" w:cs="Calibri"/>
          <w:color w:val="000000"/>
          <w:sz w:val="22"/>
          <w:szCs w:val="22"/>
          <w:lang w:eastAsia="en-GB"/>
        </w:rPr>
      </w:pPr>
      <w:r w:rsidRPr="00232537">
        <w:rPr>
          <w:rFonts w:eastAsia="Times New Roman" w:cs="Calibri"/>
          <w:color w:val="000000"/>
          <w:sz w:val="22"/>
          <w:szCs w:val="22"/>
          <w:lang w:eastAsia="en-GB"/>
        </w:rPr>
        <w:t> </w:t>
      </w:r>
    </w:p>
    <w:p w14:paraId="2C9B12EE" w14:textId="3DCE7750" w:rsidR="00A9653D" w:rsidRPr="00232537" w:rsidRDefault="00A9653D" w:rsidP="00A9653D">
      <w:pPr>
        <w:rPr>
          <w:rFonts w:eastAsia="Times New Roman" w:cs="Calibri"/>
          <w:color w:val="000000"/>
          <w:sz w:val="22"/>
          <w:szCs w:val="22"/>
          <w:lang w:eastAsia="en-GB"/>
        </w:rPr>
      </w:pPr>
      <w:r w:rsidRPr="00232537">
        <w:rPr>
          <w:rFonts w:cs="Calibri"/>
          <w:b/>
          <w:bCs/>
          <w:sz w:val="22"/>
          <w:szCs w:val="22"/>
        </w:rPr>
        <w:t>Thames Water Kemble Finance</w:t>
      </w:r>
    </w:p>
    <w:p w14:paraId="5431FA38" w14:textId="0178EC59" w:rsidR="00A9653D" w:rsidRPr="00232537" w:rsidRDefault="00A9653D" w:rsidP="00A9653D">
      <w:pPr>
        <w:rPr>
          <w:rFonts w:cs="Calibri"/>
          <w:sz w:val="22"/>
          <w:szCs w:val="22"/>
        </w:rPr>
      </w:pPr>
      <w:r w:rsidRPr="00232537">
        <w:rPr>
          <w:rFonts w:cs="Calibri"/>
          <w:sz w:val="22"/>
          <w:szCs w:val="22"/>
        </w:rPr>
        <w:t>The Trustee noted that RLAM is reportedly a major Thames Water investor and the fund itself has a small investment in Thames Water Kemble Finance plc.  The Trustee further noted that in April 2024 Kemble Water Finance issued a formal notice of default on a bond maturing in 2026, and according to press reports</w:t>
      </w:r>
      <w:r w:rsidRPr="00232537">
        <w:rPr>
          <w:rStyle w:val="FootnoteReference"/>
          <w:rFonts w:cs="Calibri"/>
          <w:sz w:val="22"/>
          <w:szCs w:val="22"/>
        </w:rPr>
        <w:footnoteReference w:id="14"/>
      </w:r>
      <w:r w:rsidRPr="00232537">
        <w:rPr>
          <w:rFonts w:cs="Calibri"/>
          <w:sz w:val="22"/>
          <w:szCs w:val="22"/>
        </w:rPr>
        <w:t xml:space="preserve"> RLAM was the most exposed institutional investor. </w:t>
      </w:r>
    </w:p>
    <w:p w14:paraId="2E90465A" w14:textId="77777777" w:rsidR="00A9653D" w:rsidRPr="00232537" w:rsidRDefault="00A9653D" w:rsidP="00A9653D">
      <w:pPr>
        <w:rPr>
          <w:rFonts w:cs="Calibri"/>
          <w:sz w:val="22"/>
          <w:szCs w:val="22"/>
        </w:rPr>
      </w:pPr>
    </w:p>
    <w:p w14:paraId="481B26E7" w14:textId="385DD030" w:rsidR="00A9653D" w:rsidRPr="00232537" w:rsidRDefault="00A9653D" w:rsidP="00A9653D">
      <w:pPr>
        <w:rPr>
          <w:rFonts w:cs="Calibri"/>
          <w:sz w:val="22"/>
          <w:szCs w:val="22"/>
        </w:rPr>
      </w:pPr>
      <w:r w:rsidRPr="00232537">
        <w:rPr>
          <w:rFonts w:cs="Calibri"/>
          <w:sz w:val="22"/>
          <w:szCs w:val="22"/>
        </w:rPr>
        <w:t>The Trustee raised the same points regarding Thames Water as were made to M&amp;G (above</w:t>
      </w:r>
      <w:proofErr w:type="gramStart"/>
      <w:r w:rsidRPr="00232537">
        <w:rPr>
          <w:rFonts w:cs="Calibri"/>
          <w:sz w:val="22"/>
          <w:szCs w:val="22"/>
        </w:rPr>
        <w:t>), and</w:t>
      </w:r>
      <w:proofErr w:type="gramEnd"/>
      <w:r w:rsidRPr="00232537">
        <w:rPr>
          <w:rFonts w:cs="Calibri"/>
          <w:sz w:val="22"/>
          <w:szCs w:val="22"/>
        </w:rPr>
        <w:t xml:space="preserve"> further noted RLAM's very welcome focus on antimicrobial resistance and the statement in </w:t>
      </w:r>
      <w:r w:rsidR="000008F2" w:rsidRPr="00232537">
        <w:rPr>
          <w:rFonts w:cs="Calibri"/>
          <w:sz w:val="22"/>
          <w:szCs w:val="22"/>
        </w:rPr>
        <w:t>its</w:t>
      </w:r>
      <w:r w:rsidRPr="00232537">
        <w:rPr>
          <w:rFonts w:cs="Calibri"/>
          <w:sz w:val="22"/>
          <w:szCs w:val="22"/>
        </w:rPr>
        <w:t xml:space="preserve"> </w:t>
      </w:r>
      <w:r w:rsidRPr="00232537">
        <w:rPr>
          <w:rFonts w:cs="Calibri"/>
          <w:i/>
          <w:iCs/>
          <w:sz w:val="22"/>
          <w:szCs w:val="22"/>
        </w:rPr>
        <w:lastRenderedPageBreak/>
        <w:t>Stewardship and Responsible Investment Report 2024</w:t>
      </w:r>
      <w:r w:rsidRPr="00232537">
        <w:rPr>
          <w:rFonts w:cs="Calibri"/>
          <w:sz w:val="22"/>
          <w:szCs w:val="22"/>
        </w:rPr>
        <w:t xml:space="preserve"> that "wastewater is strongly linked to increased antimicrobial resistance in river bacteria and affects areas adjacent to water treatment plants. This connection underscores the importance of addressing wastewater management to combat the spread of AMR." Thames Water is a participant in the Water UK Chemicals Investigation Programme which </w:t>
      </w:r>
      <w:r w:rsidR="000008F2" w:rsidRPr="00232537">
        <w:rPr>
          <w:rFonts w:cs="Calibri"/>
          <w:sz w:val="22"/>
          <w:szCs w:val="22"/>
        </w:rPr>
        <w:t>RLAM</w:t>
      </w:r>
      <w:r w:rsidRPr="00232537">
        <w:rPr>
          <w:rFonts w:cs="Calibri"/>
          <w:sz w:val="22"/>
          <w:szCs w:val="22"/>
        </w:rPr>
        <w:t xml:space="preserve"> state</w:t>
      </w:r>
      <w:r w:rsidR="000008F2" w:rsidRPr="00232537">
        <w:rPr>
          <w:rFonts w:cs="Calibri"/>
          <w:sz w:val="22"/>
          <w:szCs w:val="22"/>
        </w:rPr>
        <w:t>d</w:t>
      </w:r>
      <w:r w:rsidRPr="00232537">
        <w:rPr>
          <w:rFonts w:cs="Calibri"/>
          <w:sz w:val="22"/>
          <w:szCs w:val="22"/>
        </w:rPr>
        <w:t xml:space="preserve"> "investigates the impact of wastewater and sludge treatment processes on the presence and spread of AMR bacteria and genes. Several companies have also collaborated with academic institutions to assess the prevalence and risks of AMR bacteria in wastewater." </w:t>
      </w:r>
    </w:p>
    <w:p w14:paraId="54B03C64" w14:textId="77777777" w:rsidR="00A9653D" w:rsidRPr="00232537" w:rsidRDefault="00A9653D" w:rsidP="00A9653D">
      <w:pPr>
        <w:rPr>
          <w:rFonts w:cs="Calibri"/>
          <w:sz w:val="22"/>
          <w:szCs w:val="22"/>
        </w:rPr>
      </w:pPr>
    </w:p>
    <w:p w14:paraId="0809A551" w14:textId="6DB234D9" w:rsidR="00A9653D" w:rsidRPr="00232537" w:rsidRDefault="00A9653D" w:rsidP="00A9653D">
      <w:pPr>
        <w:rPr>
          <w:rFonts w:cs="Calibri"/>
          <w:sz w:val="22"/>
          <w:szCs w:val="22"/>
        </w:rPr>
      </w:pPr>
      <w:r w:rsidRPr="00232537">
        <w:rPr>
          <w:rFonts w:cs="Calibri"/>
          <w:sz w:val="22"/>
          <w:szCs w:val="22"/>
        </w:rPr>
        <w:t xml:space="preserve">In </w:t>
      </w:r>
      <w:r w:rsidR="000008F2" w:rsidRPr="00232537">
        <w:rPr>
          <w:rFonts w:cs="Calibri"/>
          <w:sz w:val="22"/>
          <w:szCs w:val="22"/>
        </w:rPr>
        <w:t>RLAM's</w:t>
      </w:r>
      <w:r w:rsidRPr="00232537">
        <w:rPr>
          <w:rFonts w:cs="Calibri"/>
          <w:sz w:val="22"/>
          <w:szCs w:val="22"/>
        </w:rPr>
        <w:t xml:space="preserve"> </w:t>
      </w:r>
      <w:r w:rsidRPr="00232537">
        <w:rPr>
          <w:rFonts w:cs="Calibri"/>
          <w:i/>
          <w:iCs/>
          <w:sz w:val="22"/>
          <w:szCs w:val="22"/>
        </w:rPr>
        <w:t>2025 Water Sector Engagement Report</w:t>
      </w:r>
      <w:r w:rsidRPr="00232537">
        <w:rPr>
          <w:rFonts w:cs="Calibri"/>
          <w:sz w:val="22"/>
          <w:szCs w:val="22"/>
        </w:rPr>
        <w:t xml:space="preserve"> </w:t>
      </w:r>
      <w:r w:rsidR="000008F2" w:rsidRPr="00232537">
        <w:rPr>
          <w:rFonts w:cs="Calibri"/>
          <w:sz w:val="22"/>
          <w:szCs w:val="22"/>
        </w:rPr>
        <w:t>it was</w:t>
      </w:r>
      <w:r w:rsidRPr="00232537">
        <w:rPr>
          <w:rFonts w:cs="Calibri"/>
          <w:sz w:val="22"/>
          <w:szCs w:val="22"/>
        </w:rPr>
        <w:t xml:space="preserve"> state</w:t>
      </w:r>
      <w:r w:rsidR="000008F2" w:rsidRPr="00232537">
        <w:rPr>
          <w:rFonts w:cs="Calibri"/>
          <w:sz w:val="22"/>
          <w:szCs w:val="22"/>
        </w:rPr>
        <w:t>d</w:t>
      </w:r>
      <w:r w:rsidRPr="00232537">
        <w:rPr>
          <w:rFonts w:cs="Calibri"/>
          <w:sz w:val="22"/>
          <w:szCs w:val="22"/>
        </w:rPr>
        <w:t xml:space="preserve">: "Thames Water has made progress in some areas of the engagement programme, but several key challenges remain. Pollution is a significant concern. The Thames Tideway Tunnel is a major investment aimed at addressing these issues, though further clarity is needed on its expected impact. Biodiversity reporting lacks a full baseline assessment and a comprehensive plan for habitat and species management. Future focus areas include improving pollution outcomes, developing a robust biodiversity strategy, strengthening affordability planning, and integrating AMR risk management."  </w:t>
      </w:r>
    </w:p>
    <w:p w14:paraId="7517D7DC" w14:textId="77777777" w:rsidR="00A9653D" w:rsidRPr="00232537" w:rsidRDefault="00A9653D" w:rsidP="00A9653D">
      <w:pPr>
        <w:rPr>
          <w:rFonts w:cs="Calibri"/>
          <w:sz w:val="22"/>
          <w:szCs w:val="22"/>
        </w:rPr>
      </w:pPr>
    </w:p>
    <w:p w14:paraId="2EC0FF0B" w14:textId="3949131D" w:rsidR="00A9653D" w:rsidRPr="00232537" w:rsidRDefault="00A9653D" w:rsidP="00A9653D">
      <w:pPr>
        <w:rPr>
          <w:rFonts w:cs="Calibri"/>
          <w:sz w:val="22"/>
          <w:szCs w:val="22"/>
        </w:rPr>
      </w:pPr>
      <w:r w:rsidRPr="00232537">
        <w:rPr>
          <w:rFonts w:cs="Calibri"/>
          <w:sz w:val="22"/>
          <w:szCs w:val="22"/>
        </w:rPr>
        <w:t xml:space="preserve">In </w:t>
      </w:r>
      <w:r w:rsidR="000008F2" w:rsidRPr="00232537">
        <w:rPr>
          <w:rFonts w:cs="Calibri"/>
          <w:sz w:val="22"/>
          <w:szCs w:val="22"/>
        </w:rPr>
        <w:t>RLAM's</w:t>
      </w:r>
      <w:r w:rsidRPr="00232537">
        <w:rPr>
          <w:rFonts w:cs="Calibri"/>
          <w:sz w:val="22"/>
          <w:szCs w:val="22"/>
        </w:rPr>
        <w:t xml:space="preserve"> conclusion to </w:t>
      </w:r>
      <w:r w:rsidR="000008F2" w:rsidRPr="00232537">
        <w:rPr>
          <w:rFonts w:cs="Calibri"/>
          <w:sz w:val="22"/>
          <w:szCs w:val="22"/>
        </w:rPr>
        <w:t>its</w:t>
      </w:r>
      <w:r w:rsidRPr="00232537">
        <w:rPr>
          <w:rFonts w:cs="Calibri"/>
          <w:sz w:val="22"/>
          <w:szCs w:val="22"/>
        </w:rPr>
        <w:t xml:space="preserve"> report </w:t>
      </w:r>
      <w:r w:rsidR="000008F2" w:rsidRPr="00232537">
        <w:rPr>
          <w:rFonts w:cs="Calibri"/>
          <w:sz w:val="22"/>
          <w:szCs w:val="22"/>
        </w:rPr>
        <w:t>they</w:t>
      </w:r>
      <w:r w:rsidRPr="00232537">
        <w:rPr>
          <w:rFonts w:cs="Calibri"/>
          <w:sz w:val="22"/>
          <w:szCs w:val="22"/>
        </w:rPr>
        <w:t xml:space="preserve"> state: "Despite these challenges, the water sector offers stable and dependable cashflows, supported by a robust regulatory framework, making it an attractive investment opportunity. By prioritising affordability, supporting vulnerable customers, and addressing environmental concerns, water companies can continue to provide essential services while contributing to the well-being of society."</w:t>
      </w:r>
    </w:p>
    <w:p w14:paraId="3D052708" w14:textId="77777777" w:rsidR="00A9653D" w:rsidRPr="00232537" w:rsidRDefault="00A9653D" w:rsidP="00A9653D">
      <w:pPr>
        <w:rPr>
          <w:rFonts w:cs="Calibri"/>
          <w:sz w:val="22"/>
          <w:szCs w:val="22"/>
        </w:rPr>
      </w:pPr>
    </w:p>
    <w:p w14:paraId="11523B50" w14:textId="30A77DC6" w:rsidR="00A9653D" w:rsidRPr="00232537" w:rsidRDefault="000008F2" w:rsidP="00A9653D">
      <w:pPr>
        <w:rPr>
          <w:rFonts w:cs="Calibri"/>
          <w:sz w:val="22"/>
          <w:szCs w:val="22"/>
        </w:rPr>
      </w:pPr>
      <w:r w:rsidRPr="00232537">
        <w:rPr>
          <w:rFonts w:cs="Calibri"/>
          <w:sz w:val="22"/>
          <w:szCs w:val="22"/>
        </w:rPr>
        <w:t xml:space="preserve">The Trustee felt </w:t>
      </w:r>
      <w:r w:rsidR="00A9653D" w:rsidRPr="00232537">
        <w:rPr>
          <w:rFonts w:cs="Calibri"/>
          <w:sz w:val="22"/>
          <w:szCs w:val="22"/>
        </w:rPr>
        <w:t xml:space="preserve">that to state that Thames Water has "challenges" </w:t>
      </w:r>
      <w:r w:rsidRPr="00232537">
        <w:rPr>
          <w:rFonts w:cs="Calibri"/>
          <w:sz w:val="22"/>
          <w:szCs w:val="22"/>
        </w:rPr>
        <w:t>wa</w:t>
      </w:r>
      <w:r w:rsidR="00A9653D" w:rsidRPr="00232537">
        <w:rPr>
          <w:rFonts w:cs="Calibri"/>
          <w:sz w:val="22"/>
          <w:szCs w:val="22"/>
        </w:rPr>
        <w:t>s a vast understatement</w:t>
      </w:r>
      <w:r w:rsidRPr="00232537">
        <w:rPr>
          <w:rFonts w:cs="Calibri"/>
          <w:sz w:val="22"/>
          <w:szCs w:val="22"/>
        </w:rPr>
        <w:t xml:space="preserve"> and asked for comments on the Trustee's points and more details about what </w:t>
      </w:r>
      <w:r w:rsidR="00A9653D" w:rsidRPr="00232537">
        <w:rPr>
          <w:rFonts w:cs="Calibri"/>
          <w:sz w:val="22"/>
          <w:szCs w:val="22"/>
        </w:rPr>
        <w:t xml:space="preserve">engagement </w:t>
      </w:r>
      <w:r w:rsidRPr="00232537">
        <w:rPr>
          <w:rFonts w:cs="Calibri"/>
          <w:sz w:val="22"/>
          <w:szCs w:val="22"/>
        </w:rPr>
        <w:t>RLAM</w:t>
      </w:r>
      <w:r w:rsidR="00A9653D" w:rsidRPr="00232537">
        <w:rPr>
          <w:rFonts w:cs="Calibri"/>
          <w:sz w:val="22"/>
          <w:szCs w:val="22"/>
        </w:rPr>
        <w:t xml:space="preserve"> have had with Thames Water/Kemble Water Finance and the result of that engagement and whether </w:t>
      </w:r>
      <w:r w:rsidRPr="00232537">
        <w:rPr>
          <w:rFonts w:cs="Calibri"/>
          <w:sz w:val="22"/>
          <w:szCs w:val="22"/>
        </w:rPr>
        <w:t>RLAM</w:t>
      </w:r>
      <w:r w:rsidR="00A9653D" w:rsidRPr="00232537">
        <w:rPr>
          <w:rFonts w:cs="Calibri"/>
          <w:sz w:val="22"/>
          <w:szCs w:val="22"/>
        </w:rPr>
        <w:t xml:space="preserve"> are satisfied with the company's response. </w:t>
      </w:r>
      <w:r w:rsidRPr="00232537">
        <w:rPr>
          <w:rFonts w:cs="Calibri"/>
          <w:sz w:val="22"/>
          <w:szCs w:val="22"/>
        </w:rPr>
        <w:t>The Trustee also asked for RLAM's</w:t>
      </w:r>
      <w:r w:rsidR="00A9653D" w:rsidRPr="00232537">
        <w:rPr>
          <w:rFonts w:cs="Calibri"/>
          <w:sz w:val="22"/>
          <w:szCs w:val="22"/>
        </w:rPr>
        <w:t xml:space="preserve"> view on whether the complex structure of multiple companies owning or owned by Thames Water Utilities Ltd is fit for purpose</w:t>
      </w:r>
      <w:r w:rsidRPr="00232537">
        <w:rPr>
          <w:rFonts w:cs="Calibri"/>
          <w:sz w:val="22"/>
          <w:szCs w:val="22"/>
        </w:rPr>
        <w:t xml:space="preserve">, and </w:t>
      </w:r>
      <w:r w:rsidR="00A9653D" w:rsidRPr="00232537">
        <w:rPr>
          <w:rFonts w:cs="Calibri"/>
          <w:sz w:val="22"/>
          <w:szCs w:val="22"/>
        </w:rPr>
        <w:t>whether in the last year ESG concerns ha</w:t>
      </w:r>
      <w:r w:rsidRPr="00232537">
        <w:rPr>
          <w:rFonts w:cs="Calibri"/>
          <w:sz w:val="22"/>
          <w:szCs w:val="22"/>
        </w:rPr>
        <w:t>d</w:t>
      </w:r>
      <w:r w:rsidR="00A9653D" w:rsidRPr="00232537">
        <w:rPr>
          <w:rFonts w:cs="Calibri"/>
          <w:sz w:val="22"/>
          <w:szCs w:val="22"/>
        </w:rPr>
        <w:t xml:space="preserve"> led </w:t>
      </w:r>
      <w:r w:rsidRPr="00232537">
        <w:rPr>
          <w:rFonts w:cs="Calibri"/>
          <w:sz w:val="22"/>
          <w:szCs w:val="22"/>
        </w:rPr>
        <w:t>RLAM</w:t>
      </w:r>
      <w:r w:rsidR="00A9653D" w:rsidRPr="00232537">
        <w:rPr>
          <w:rFonts w:cs="Calibri"/>
          <w:sz w:val="22"/>
          <w:szCs w:val="22"/>
        </w:rPr>
        <w:t xml:space="preserve"> to choose to either pass on an investment opportunity, or to sell </w:t>
      </w:r>
      <w:r w:rsidRPr="00232537">
        <w:rPr>
          <w:rFonts w:cs="Calibri"/>
          <w:sz w:val="22"/>
          <w:szCs w:val="22"/>
        </w:rPr>
        <w:t>their</w:t>
      </w:r>
      <w:r w:rsidR="00A9653D" w:rsidRPr="00232537">
        <w:rPr>
          <w:rFonts w:cs="Calibri"/>
          <w:sz w:val="22"/>
          <w:szCs w:val="22"/>
        </w:rPr>
        <w:t xml:space="preserve"> holding</w:t>
      </w:r>
      <w:r w:rsidRPr="00232537">
        <w:rPr>
          <w:rFonts w:cs="Calibri"/>
          <w:sz w:val="22"/>
          <w:szCs w:val="22"/>
        </w:rPr>
        <w:t>.</w:t>
      </w:r>
    </w:p>
    <w:p w14:paraId="02991322" w14:textId="1C59144E" w:rsidR="00041511" w:rsidRPr="00232537" w:rsidRDefault="00041511" w:rsidP="00041511">
      <w:pPr>
        <w:rPr>
          <w:rFonts w:eastAsia="Times New Roman" w:cs="Calibri"/>
          <w:color w:val="000000" w:themeColor="text1"/>
          <w:sz w:val="22"/>
          <w:szCs w:val="22"/>
          <w:lang w:eastAsia="en-GB"/>
        </w:rPr>
      </w:pPr>
    </w:p>
    <w:p w14:paraId="457FA185" w14:textId="3483430E" w:rsidR="00041511" w:rsidRPr="00232537" w:rsidRDefault="000008F2"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RLAM responded that its</w:t>
      </w:r>
      <w:r w:rsidR="00041511" w:rsidRPr="00232537">
        <w:rPr>
          <w:rFonts w:eastAsia="Times New Roman" w:cs="Calibri"/>
          <w:color w:val="000000" w:themeColor="text1"/>
          <w:sz w:val="22"/>
          <w:szCs w:val="22"/>
          <w:lang w:eastAsia="en-GB"/>
        </w:rPr>
        <w:t xml:space="preserve"> stewardship in the UK water sector is delivered through a sector</w:t>
      </w:r>
      <w:r w:rsidR="00041511" w:rsidRPr="00232537">
        <w:rPr>
          <w:rFonts w:eastAsia="Times New Roman" w:cs="Calibri"/>
          <w:color w:val="000000" w:themeColor="text1"/>
          <w:sz w:val="22"/>
          <w:szCs w:val="22"/>
          <w:lang w:eastAsia="en-GB"/>
        </w:rPr>
        <w:noBreakHyphen/>
        <w:t xml:space="preserve">level engagement programme, reflecting the shared challenges facing the industry, including wastewater pollution, infrastructure resilience, affordability and regulation. </w:t>
      </w:r>
      <w:r w:rsidRPr="00232537">
        <w:rPr>
          <w:rFonts w:eastAsia="Times New Roman" w:cs="Calibri"/>
          <w:color w:val="000000" w:themeColor="text1"/>
          <w:sz w:val="22"/>
          <w:szCs w:val="22"/>
          <w:lang w:eastAsia="en-GB"/>
        </w:rPr>
        <w:t>RLAM's</w:t>
      </w:r>
      <w:r w:rsidR="00041511" w:rsidRPr="00232537">
        <w:rPr>
          <w:rFonts w:eastAsia="Times New Roman" w:cs="Calibri"/>
          <w:color w:val="000000" w:themeColor="text1"/>
          <w:sz w:val="22"/>
          <w:szCs w:val="22"/>
          <w:lang w:eastAsia="en-GB"/>
        </w:rPr>
        <w:t xml:space="preserve"> approach combines targeted engagement with ongoing monitoring and is focused on long</w:t>
      </w:r>
      <w:r w:rsidR="00041511" w:rsidRPr="00232537">
        <w:rPr>
          <w:rFonts w:eastAsia="Times New Roman" w:cs="Calibri"/>
          <w:color w:val="000000" w:themeColor="text1"/>
          <w:sz w:val="22"/>
          <w:szCs w:val="22"/>
          <w:lang w:eastAsia="en-GB"/>
        </w:rPr>
        <w:noBreakHyphen/>
        <w:t>term outcomes.</w:t>
      </w:r>
    </w:p>
    <w:p w14:paraId="4C643E90" w14:textId="77777777"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w:t>
      </w:r>
    </w:p>
    <w:p w14:paraId="3CC10396" w14:textId="28118F8C" w:rsidR="00041511" w:rsidRPr="00232537" w:rsidRDefault="000008F2"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They</w:t>
      </w:r>
      <w:r w:rsidR="00041511" w:rsidRPr="00232537">
        <w:rPr>
          <w:rFonts w:eastAsia="Times New Roman" w:cs="Calibri"/>
          <w:color w:val="000000" w:themeColor="text1"/>
          <w:sz w:val="22"/>
          <w:szCs w:val="22"/>
          <w:lang w:eastAsia="en-GB"/>
        </w:rPr>
        <w:t xml:space="preserve"> continue to assess Thames Water’s progress on an ongoing basis</w:t>
      </w:r>
      <w:r w:rsidRPr="00232537">
        <w:rPr>
          <w:rFonts w:eastAsia="Times New Roman" w:cs="Calibri"/>
          <w:color w:val="000000" w:themeColor="text1"/>
          <w:sz w:val="22"/>
          <w:szCs w:val="22"/>
          <w:lang w:eastAsia="en-GB"/>
        </w:rPr>
        <w:t xml:space="preserve"> </w:t>
      </w:r>
      <w:r w:rsidR="00041511" w:rsidRPr="00232537">
        <w:rPr>
          <w:rFonts w:eastAsia="Times New Roman" w:cs="Calibri"/>
          <w:color w:val="000000" w:themeColor="text1"/>
          <w:sz w:val="22"/>
          <w:szCs w:val="22"/>
          <w:lang w:eastAsia="en-GB"/>
        </w:rPr>
        <w:t>includ</w:t>
      </w:r>
      <w:r w:rsidRPr="00232537">
        <w:rPr>
          <w:rFonts w:eastAsia="Times New Roman" w:cs="Calibri"/>
          <w:color w:val="000000" w:themeColor="text1"/>
          <w:sz w:val="22"/>
          <w:szCs w:val="22"/>
          <w:lang w:eastAsia="en-GB"/>
        </w:rPr>
        <w:t>ing</w:t>
      </w:r>
      <w:r w:rsidR="00041511" w:rsidRPr="00232537">
        <w:rPr>
          <w:rFonts w:eastAsia="Times New Roman" w:cs="Calibri"/>
          <w:color w:val="000000" w:themeColor="text1"/>
          <w:sz w:val="22"/>
          <w:szCs w:val="22"/>
          <w:lang w:eastAsia="en-GB"/>
        </w:rPr>
        <w:t xml:space="preserve"> reviewing regulatory findings, public disclosures, and wider sector developments. These considerations are discussed through </w:t>
      </w:r>
      <w:r w:rsidRPr="00232537">
        <w:rPr>
          <w:rFonts w:eastAsia="Times New Roman" w:cs="Calibri"/>
          <w:color w:val="000000" w:themeColor="text1"/>
          <w:sz w:val="22"/>
          <w:szCs w:val="22"/>
          <w:lang w:eastAsia="en-GB"/>
        </w:rPr>
        <w:t>their</w:t>
      </w:r>
      <w:r w:rsidR="00041511" w:rsidRPr="00232537">
        <w:rPr>
          <w:rFonts w:eastAsia="Times New Roman" w:cs="Calibri"/>
          <w:color w:val="000000" w:themeColor="text1"/>
          <w:sz w:val="22"/>
          <w:szCs w:val="22"/>
          <w:lang w:eastAsia="en-GB"/>
        </w:rPr>
        <w:t xml:space="preserve"> Engagement Delivery Group, which determines whether direct engagement is appropriate or whether monitoring is more effective at a given time.</w:t>
      </w:r>
    </w:p>
    <w:p w14:paraId="53B37333" w14:textId="77777777"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w:t>
      </w:r>
    </w:p>
    <w:p w14:paraId="26573FF9" w14:textId="69CCA6BA" w:rsidR="00041511" w:rsidRPr="00232537" w:rsidRDefault="00041511" w:rsidP="00041511">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xml:space="preserve">Where engagement is feasible and likely to be constructive, </w:t>
      </w:r>
      <w:r w:rsidR="000008F2" w:rsidRPr="00232537">
        <w:rPr>
          <w:rFonts w:eastAsia="Times New Roman" w:cs="Calibri"/>
          <w:color w:val="000000" w:themeColor="text1"/>
          <w:sz w:val="22"/>
          <w:szCs w:val="22"/>
          <w:lang w:eastAsia="en-GB"/>
        </w:rPr>
        <w:t>RLAM stated that it would</w:t>
      </w:r>
      <w:r w:rsidRPr="00232537">
        <w:rPr>
          <w:rFonts w:eastAsia="Times New Roman" w:cs="Calibri"/>
          <w:color w:val="000000" w:themeColor="text1"/>
          <w:sz w:val="22"/>
          <w:szCs w:val="22"/>
          <w:lang w:eastAsia="en-GB"/>
        </w:rPr>
        <w:t xml:space="preserve"> seek to engage on issues such as pollution performance, environmental governance, and delivery plans. Where it is not, </w:t>
      </w:r>
      <w:r w:rsidR="000008F2" w:rsidRPr="00232537">
        <w:rPr>
          <w:rFonts w:eastAsia="Times New Roman" w:cs="Calibri"/>
          <w:color w:val="000000" w:themeColor="text1"/>
          <w:sz w:val="22"/>
          <w:szCs w:val="22"/>
          <w:lang w:eastAsia="en-GB"/>
        </w:rPr>
        <w:t xml:space="preserve">they would </w:t>
      </w:r>
      <w:r w:rsidRPr="00232537">
        <w:rPr>
          <w:rFonts w:eastAsia="Times New Roman" w:cs="Calibri"/>
          <w:color w:val="000000" w:themeColor="text1"/>
          <w:sz w:val="22"/>
          <w:szCs w:val="22"/>
          <w:lang w:eastAsia="en-GB"/>
        </w:rPr>
        <w:t>continue to monitor progress against regulatory expectations and the operational and service delivery commitments set for the current AMP8 period.</w:t>
      </w:r>
    </w:p>
    <w:p w14:paraId="6E3CA718" w14:textId="08F42181" w:rsidR="00041511" w:rsidRPr="00232537" w:rsidRDefault="00041511" w:rsidP="000008F2">
      <w:pPr>
        <w:rPr>
          <w:rFonts w:eastAsia="Times New Roman" w:cs="Calibri"/>
          <w:color w:val="000000" w:themeColor="text1"/>
          <w:sz w:val="22"/>
          <w:szCs w:val="22"/>
          <w:lang w:eastAsia="en-GB"/>
        </w:rPr>
      </w:pPr>
      <w:r w:rsidRPr="00232537">
        <w:rPr>
          <w:rFonts w:eastAsia="Times New Roman" w:cs="Calibri"/>
          <w:color w:val="000000" w:themeColor="text1"/>
          <w:sz w:val="22"/>
          <w:szCs w:val="22"/>
          <w:lang w:eastAsia="en-GB"/>
        </w:rPr>
        <w:t> </w:t>
      </w:r>
    </w:p>
    <w:p w14:paraId="4732E370" w14:textId="77777777" w:rsidR="00D012D9" w:rsidRPr="00232537" w:rsidRDefault="00D012D9" w:rsidP="00D012D9">
      <w:pPr>
        <w:pStyle w:val="Default"/>
        <w:rPr>
          <w:b/>
          <w:bCs/>
          <w:sz w:val="22"/>
          <w:szCs w:val="22"/>
        </w:rPr>
      </w:pPr>
    </w:p>
    <w:p w14:paraId="6026CE7F" w14:textId="77777777" w:rsidR="00D012D9" w:rsidRPr="00232537" w:rsidRDefault="00D012D9" w:rsidP="00D012D9">
      <w:pPr>
        <w:pStyle w:val="Default"/>
        <w:rPr>
          <w:b/>
          <w:bCs/>
          <w:color w:val="000000" w:themeColor="text1"/>
          <w:sz w:val="22"/>
          <w:szCs w:val="22"/>
        </w:rPr>
      </w:pPr>
      <w:r w:rsidRPr="00232537">
        <w:rPr>
          <w:b/>
          <w:bCs/>
          <w:color w:val="000000" w:themeColor="text1"/>
          <w:sz w:val="22"/>
          <w:szCs w:val="22"/>
        </w:rPr>
        <w:t>5. CBRE's Osiris Property Fund</w:t>
      </w:r>
    </w:p>
    <w:p w14:paraId="471F5260" w14:textId="77777777" w:rsidR="000008F2" w:rsidRPr="00232537" w:rsidRDefault="000008F2" w:rsidP="00D012D9">
      <w:pPr>
        <w:pStyle w:val="Default"/>
        <w:rPr>
          <w:b/>
          <w:bCs/>
          <w:color w:val="000000" w:themeColor="text1"/>
          <w:sz w:val="22"/>
          <w:szCs w:val="22"/>
        </w:rPr>
      </w:pPr>
    </w:p>
    <w:p w14:paraId="1B6FF6ED" w14:textId="77777777" w:rsidR="000008F2" w:rsidRPr="00232537" w:rsidRDefault="000008F2" w:rsidP="000008F2">
      <w:pPr>
        <w:autoSpaceDE w:val="0"/>
        <w:autoSpaceDN w:val="0"/>
        <w:adjustRightInd w:val="0"/>
        <w:rPr>
          <w:rFonts w:cs="Calibri"/>
          <w:color w:val="000000" w:themeColor="text1"/>
          <w:sz w:val="22"/>
          <w:szCs w:val="22"/>
        </w:rPr>
      </w:pPr>
      <w:r w:rsidRPr="00232537">
        <w:rPr>
          <w:rFonts w:cs="Calibri"/>
          <w:color w:val="000000" w:themeColor="text1"/>
          <w:sz w:val="22"/>
          <w:szCs w:val="22"/>
        </w:rPr>
        <w:t>This fund has been in wind down since March 2020 and the size of the portfolio is reducing over time.</w:t>
      </w:r>
    </w:p>
    <w:p w14:paraId="3160A622" w14:textId="563AFCE0" w:rsidR="000008F2" w:rsidRPr="00232537" w:rsidRDefault="000008F2" w:rsidP="000008F2">
      <w:pPr>
        <w:autoSpaceDE w:val="0"/>
        <w:autoSpaceDN w:val="0"/>
        <w:adjustRightInd w:val="0"/>
        <w:rPr>
          <w:rFonts w:cs="Calibri"/>
          <w:color w:val="000000" w:themeColor="text1"/>
          <w:sz w:val="22"/>
          <w:szCs w:val="22"/>
        </w:rPr>
      </w:pPr>
      <w:r w:rsidRPr="00232537">
        <w:rPr>
          <w:rFonts w:cs="Calibri"/>
          <w:color w:val="000000" w:themeColor="text1"/>
          <w:sz w:val="22"/>
          <w:szCs w:val="22"/>
        </w:rPr>
        <w:lastRenderedPageBreak/>
        <w:t>CBRE Investment Management is a signatory to TCFD and supports the TCFD recommendations.</w:t>
      </w:r>
    </w:p>
    <w:p w14:paraId="1CBE3162" w14:textId="77777777" w:rsidR="009B489B" w:rsidRPr="00232537" w:rsidRDefault="009B489B" w:rsidP="00041511">
      <w:pPr>
        <w:pStyle w:val="Default"/>
        <w:rPr>
          <w:color w:val="000000" w:themeColor="text1"/>
          <w:sz w:val="22"/>
          <w:szCs w:val="22"/>
        </w:rPr>
      </w:pPr>
    </w:p>
    <w:p w14:paraId="63262D73" w14:textId="2495AA97" w:rsidR="00041511" w:rsidRPr="00232537" w:rsidRDefault="000008F2" w:rsidP="00041511">
      <w:pPr>
        <w:pStyle w:val="Default"/>
        <w:rPr>
          <w:sz w:val="22"/>
          <w:szCs w:val="22"/>
        </w:rPr>
      </w:pPr>
      <w:r w:rsidRPr="00232537">
        <w:rPr>
          <w:color w:val="000000" w:themeColor="text1"/>
          <w:sz w:val="22"/>
          <w:szCs w:val="22"/>
        </w:rPr>
        <w:t>CBRE confirmed that t</w:t>
      </w:r>
      <w:r w:rsidR="00041511" w:rsidRPr="00232537">
        <w:rPr>
          <w:sz w:val="22"/>
          <w:szCs w:val="22"/>
        </w:rPr>
        <w:t xml:space="preserve">he Osiris fund follows the CBRE Investment Management Sustainability Policy and Sustainability Vision which together cover its approach to sustainability for all strategies and assets under management, as well as its net-zero carbon and other ESG-related targets. </w:t>
      </w:r>
    </w:p>
    <w:p w14:paraId="29966083" w14:textId="5F2324A4" w:rsidR="00041511" w:rsidRPr="00232537" w:rsidRDefault="00041511" w:rsidP="00041511">
      <w:pPr>
        <w:pStyle w:val="Default"/>
        <w:rPr>
          <w:sz w:val="22"/>
          <w:szCs w:val="22"/>
        </w:rPr>
      </w:pPr>
      <w:r w:rsidRPr="00232537">
        <w:rPr>
          <w:sz w:val="22"/>
          <w:szCs w:val="22"/>
        </w:rPr>
        <w:t>Further, as a signatory to the Net Zero Asset Managers initiative ("</w:t>
      </w:r>
      <w:proofErr w:type="spellStart"/>
      <w:r w:rsidRPr="00232537">
        <w:rPr>
          <w:sz w:val="22"/>
          <w:szCs w:val="22"/>
        </w:rPr>
        <w:t>NZAMi</w:t>
      </w:r>
      <w:proofErr w:type="spellEnd"/>
      <w:r w:rsidRPr="00232537">
        <w:rPr>
          <w:sz w:val="22"/>
          <w:szCs w:val="22"/>
        </w:rPr>
        <w:t xml:space="preserve">"), CBRE Investment Management has net zero carbon emissions targets. Where </w:t>
      </w:r>
      <w:r w:rsidR="000008F2" w:rsidRPr="00232537">
        <w:rPr>
          <w:sz w:val="22"/>
          <w:szCs w:val="22"/>
        </w:rPr>
        <w:t>they</w:t>
      </w:r>
      <w:r w:rsidRPr="00232537">
        <w:rPr>
          <w:sz w:val="22"/>
          <w:szCs w:val="22"/>
        </w:rPr>
        <w:t xml:space="preserve"> have direct control of an asset and management discretion of </w:t>
      </w:r>
      <w:r w:rsidR="000008F2" w:rsidRPr="00232537">
        <w:rPr>
          <w:sz w:val="22"/>
          <w:szCs w:val="22"/>
        </w:rPr>
        <w:t>their</w:t>
      </w:r>
      <w:r w:rsidRPr="00232537">
        <w:rPr>
          <w:sz w:val="22"/>
          <w:szCs w:val="22"/>
        </w:rPr>
        <w:t xml:space="preserve"> long-term core strategies, </w:t>
      </w:r>
      <w:r w:rsidR="000008F2" w:rsidRPr="00232537">
        <w:rPr>
          <w:sz w:val="22"/>
          <w:szCs w:val="22"/>
        </w:rPr>
        <w:t>they</w:t>
      </w:r>
      <w:r w:rsidRPr="00232537">
        <w:rPr>
          <w:sz w:val="22"/>
          <w:szCs w:val="22"/>
        </w:rPr>
        <w:t xml:space="preserve"> have committed to implement actions to achieve net zero carbon performance and physical resilience for Scopes 1 and 2 by 2040 or sooner and for Scope 3 by 2050. For all other business strategies, </w:t>
      </w:r>
      <w:r w:rsidR="000008F2" w:rsidRPr="00232537">
        <w:rPr>
          <w:sz w:val="22"/>
          <w:szCs w:val="22"/>
        </w:rPr>
        <w:t>CBRE</w:t>
      </w:r>
      <w:r w:rsidRPr="00232537">
        <w:rPr>
          <w:sz w:val="22"/>
          <w:szCs w:val="22"/>
        </w:rPr>
        <w:t xml:space="preserve"> have committed to deliver net zero carbon performance and physical resilience for Scopes 1, 2 and 3 by 2050.</w:t>
      </w:r>
    </w:p>
    <w:p w14:paraId="1E1FEDF4" w14:textId="77777777" w:rsidR="00041511" w:rsidRPr="00232537" w:rsidRDefault="00041511" w:rsidP="00041511">
      <w:pPr>
        <w:pStyle w:val="Default"/>
        <w:rPr>
          <w:sz w:val="22"/>
          <w:szCs w:val="22"/>
        </w:rPr>
      </w:pPr>
    </w:p>
    <w:p w14:paraId="0760F1C0" w14:textId="1306AAC3" w:rsidR="00041511" w:rsidRPr="00232537" w:rsidRDefault="00041511" w:rsidP="00041511">
      <w:pPr>
        <w:pStyle w:val="Default"/>
        <w:rPr>
          <w:sz w:val="22"/>
          <w:szCs w:val="22"/>
        </w:rPr>
      </w:pPr>
      <w:r w:rsidRPr="00232537">
        <w:rPr>
          <w:sz w:val="22"/>
          <w:szCs w:val="22"/>
        </w:rPr>
        <w:t>However, since March 2020, the Osiris Fund has been in wind-down</w:t>
      </w:r>
      <w:r w:rsidR="000008F2" w:rsidRPr="00232537">
        <w:rPr>
          <w:sz w:val="22"/>
          <w:szCs w:val="22"/>
        </w:rPr>
        <w:t xml:space="preserve"> and a</w:t>
      </w:r>
      <w:r w:rsidRPr="00232537">
        <w:rPr>
          <w:sz w:val="22"/>
          <w:szCs w:val="22"/>
        </w:rPr>
        <w:t xml:space="preserve">s such the Fund has not set any long-term sustainability goals. </w:t>
      </w:r>
    </w:p>
    <w:p w14:paraId="6507C05D" w14:textId="77777777" w:rsidR="000008F2" w:rsidRPr="00232537" w:rsidRDefault="000008F2" w:rsidP="00041511">
      <w:pPr>
        <w:pStyle w:val="Default"/>
        <w:rPr>
          <w:sz w:val="22"/>
          <w:szCs w:val="22"/>
        </w:rPr>
      </w:pPr>
    </w:p>
    <w:p w14:paraId="4C1E3CA4" w14:textId="756B8C65" w:rsidR="00041511" w:rsidRPr="00232537" w:rsidRDefault="00041511" w:rsidP="00041511">
      <w:pPr>
        <w:pStyle w:val="Default"/>
        <w:rPr>
          <w:sz w:val="22"/>
          <w:szCs w:val="22"/>
        </w:rPr>
      </w:pPr>
      <w:r w:rsidRPr="00232537">
        <w:rPr>
          <w:sz w:val="22"/>
          <w:szCs w:val="22"/>
        </w:rPr>
        <w:t xml:space="preserve">In 2025 CBRE group published its Climate Transition Strategy, which builds on work done over the last few years to align targets, drive progress on key sustainability initiatives and implement financial-grade GHG emissions accounting. </w:t>
      </w:r>
    </w:p>
    <w:p w14:paraId="3F093479" w14:textId="28C8ECDB" w:rsidR="00041511" w:rsidRPr="00232537" w:rsidRDefault="00041511" w:rsidP="00041511">
      <w:pPr>
        <w:pStyle w:val="Default"/>
        <w:rPr>
          <w:sz w:val="22"/>
          <w:szCs w:val="22"/>
        </w:rPr>
      </w:pPr>
      <w:r w:rsidRPr="00232537">
        <w:rPr>
          <w:sz w:val="22"/>
          <w:szCs w:val="22"/>
        </w:rPr>
        <w:t xml:space="preserve">In 2024 </w:t>
      </w:r>
      <w:r w:rsidR="008739F7" w:rsidRPr="00232537">
        <w:rPr>
          <w:sz w:val="22"/>
          <w:szCs w:val="22"/>
        </w:rPr>
        <w:t>CBRE</w:t>
      </w:r>
      <w:r w:rsidRPr="00232537">
        <w:rPr>
          <w:sz w:val="22"/>
          <w:szCs w:val="22"/>
        </w:rPr>
        <w:t xml:space="preserve"> validated </w:t>
      </w:r>
      <w:r w:rsidR="008739F7" w:rsidRPr="00232537">
        <w:rPr>
          <w:sz w:val="22"/>
          <w:szCs w:val="22"/>
        </w:rPr>
        <w:t>thei</w:t>
      </w:r>
      <w:r w:rsidRPr="00232537">
        <w:rPr>
          <w:sz w:val="22"/>
          <w:szCs w:val="22"/>
        </w:rPr>
        <w:t xml:space="preserve">r Net Zero target with the Science Based Targets initiative (SBTi). </w:t>
      </w:r>
      <w:r w:rsidR="008739F7" w:rsidRPr="00232537">
        <w:rPr>
          <w:sz w:val="22"/>
          <w:szCs w:val="22"/>
        </w:rPr>
        <w:t>Their</w:t>
      </w:r>
      <w:r w:rsidRPr="00232537">
        <w:rPr>
          <w:sz w:val="22"/>
          <w:szCs w:val="22"/>
        </w:rPr>
        <w:t xml:space="preserve"> Transition Strategy presents a global approach to driving emissions reductions across </w:t>
      </w:r>
      <w:r w:rsidR="008739F7" w:rsidRPr="00232537">
        <w:rPr>
          <w:sz w:val="22"/>
          <w:szCs w:val="22"/>
        </w:rPr>
        <w:t>their</w:t>
      </w:r>
      <w:r w:rsidRPr="00232537">
        <w:rPr>
          <w:sz w:val="22"/>
          <w:szCs w:val="22"/>
        </w:rPr>
        <w:t xml:space="preserve"> operations and service offerings, enabling our business to thrive in a future that holds global temperatures to a 1.5C trajectory. It aligns </w:t>
      </w:r>
      <w:r w:rsidR="008739F7" w:rsidRPr="00232537">
        <w:rPr>
          <w:sz w:val="22"/>
          <w:szCs w:val="22"/>
        </w:rPr>
        <w:t>CBRE's</w:t>
      </w:r>
      <w:r w:rsidRPr="00232537">
        <w:rPr>
          <w:sz w:val="22"/>
          <w:szCs w:val="22"/>
        </w:rPr>
        <w:t xml:space="preserve"> business with our climate commitments and highlights areas of impact, transformation and opportunity. </w:t>
      </w:r>
    </w:p>
    <w:p w14:paraId="5F2ED814" w14:textId="31ABBC04" w:rsidR="00041511" w:rsidRPr="00232537" w:rsidRDefault="00041511" w:rsidP="00041511">
      <w:pPr>
        <w:pStyle w:val="Default"/>
        <w:rPr>
          <w:sz w:val="22"/>
          <w:szCs w:val="22"/>
        </w:rPr>
      </w:pPr>
      <w:r w:rsidRPr="00232537">
        <w:rPr>
          <w:sz w:val="22"/>
          <w:szCs w:val="22"/>
        </w:rPr>
        <w:t xml:space="preserve">CBRE IM published </w:t>
      </w:r>
      <w:r w:rsidR="008739F7" w:rsidRPr="00232537">
        <w:rPr>
          <w:sz w:val="22"/>
          <w:szCs w:val="22"/>
        </w:rPr>
        <w:t>its</w:t>
      </w:r>
      <w:r w:rsidRPr="00232537">
        <w:rPr>
          <w:sz w:val="22"/>
          <w:szCs w:val="22"/>
        </w:rPr>
        <w:t xml:space="preserve"> 2024 Climate Report that outlines </w:t>
      </w:r>
      <w:r w:rsidR="008739F7" w:rsidRPr="00232537">
        <w:rPr>
          <w:sz w:val="22"/>
          <w:szCs w:val="22"/>
        </w:rPr>
        <w:t>its</w:t>
      </w:r>
      <w:r w:rsidRPr="00232537">
        <w:rPr>
          <w:sz w:val="22"/>
          <w:szCs w:val="22"/>
        </w:rPr>
        <w:t xml:space="preserve"> performance, progress and key initiatives, and which articulates </w:t>
      </w:r>
      <w:r w:rsidR="008739F7" w:rsidRPr="00232537">
        <w:rPr>
          <w:sz w:val="22"/>
          <w:szCs w:val="22"/>
        </w:rPr>
        <w:t>their</w:t>
      </w:r>
      <w:r w:rsidRPr="00232537">
        <w:rPr>
          <w:sz w:val="22"/>
          <w:szCs w:val="22"/>
        </w:rPr>
        <w:t xml:space="preserve"> approach to assessing climate risks and opportunities informed by the Task Force on Climate-related Financial Disclosures (TCFD) and the International Financial Reporting Standards (IFRS) S1 and S2.1 It also highlights actions </w:t>
      </w:r>
      <w:r w:rsidR="008739F7" w:rsidRPr="00232537">
        <w:rPr>
          <w:sz w:val="22"/>
          <w:szCs w:val="22"/>
        </w:rPr>
        <w:t>taken</w:t>
      </w:r>
      <w:r w:rsidRPr="00232537">
        <w:rPr>
          <w:sz w:val="22"/>
          <w:szCs w:val="22"/>
        </w:rPr>
        <w:t xml:space="preserve"> to improve asset performance and build climate resilience across </w:t>
      </w:r>
      <w:r w:rsidR="008739F7" w:rsidRPr="00232537">
        <w:rPr>
          <w:sz w:val="22"/>
          <w:szCs w:val="22"/>
        </w:rPr>
        <w:t>CBRE's</w:t>
      </w:r>
      <w:r w:rsidRPr="00232537">
        <w:rPr>
          <w:sz w:val="22"/>
          <w:szCs w:val="22"/>
        </w:rPr>
        <w:t xml:space="preserve"> global platform. </w:t>
      </w:r>
    </w:p>
    <w:p w14:paraId="5D21853D" w14:textId="0FE714DD" w:rsidR="00041511" w:rsidRPr="00232537" w:rsidRDefault="008739F7" w:rsidP="008739F7">
      <w:pPr>
        <w:pStyle w:val="Default"/>
        <w:rPr>
          <w:sz w:val="22"/>
          <w:szCs w:val="22"/>
        </w:rPr>
      </w:pPr>
      <w:r w:rsidRPr="00232537">
        <w:rPr>
          <w:sz w:val="22"/>
          <w:szCs w:val="22"/>
        </w:rPr>
        <w:t xml:space="preserve">CBRE continues to be a signatory to </w:t>
      </w:r>
      <w:r w:rsidR="00041511" w:rsidRPr="00232537">
        <w:rPr>
          <w:sz w:val="22"/>
          <w:szCs w:val="22"/>
        </w:rPr>
        <w:t xml:space="preserve">the Net Zero Asset Manager Initiative </w:t>
      </w:r>
      <w:r w:rsidRPr="00232537">
        <w:rPr>
          <w:sz w:val="22"/>
          <w:szCs w:val="22"/>
        </w:rPr>
        <w:t xml:space="preserve">which </w:t>
      </w:r>
      <w:r w:rsidR="00041511" w:rsidRPr="00232537">
        <w:rPr>
          <w:sz w:val="22"/>
          <w:szCs w:val="22"/>
        </w:rPr>
        <w:t>relaunched</w:t>
      </w:r>
      <w:r w:rsidRPr="00232537">
        <w:rPr>
          <w:sz w:val="22"/>
          <w:szCs w:val="22"/>
        </w:rPr>
        <w:t xml:space="preserve"> in February. </w:t>
      </w:r>
    </w:p>
    <w:p w14:paraId="48753D9E" w14:textId="77777777" w:rsidR="008739F7" w:rsidRPr="00232537" w:rsidRDefault="008739F7" w:rsidP="008739F7">
      <w:pPr>
        <w:pStyle w:val="Default"/>
        <w:rPr>
          <w:sz w:val="22"/>
          <w:szCs w:val="22"/>
        </w:rPr>
      </w:pPr>
    </w:p>
    <w:p w14:paraId="3B526C7E" w14:textId="6CB766EB" w:rsidR="008739F7" w:rsidRPr="00232537" w:rsidRDefault="009B489B" w:rsidP="00041511">
      <w:pPr>
        <w:pStyle w:val="Default"/>
        <w:rPr>
          <w:sz w:val="22"/>
          <w:szCs w:val="22"/>
        </w:rPr>
      </w:pPr>
      <w:r w:rsidRPr="00232537">
        <w:rPr>
          <w:sz w:val="22"/>
          <w:szCs w:val="22"/>
        </w:rPr>
        <w:t xml:space="preserve">Having read CBRE's Climate Report 2024 and its stark report that there was US$402-billion of total damage wrought by weather disasters globally in 2024, the Trustee asked CBRE what </w:t>
      </w:r>
      <w:r w:rsidR="00041511" w:rsidRPr="00232537">
        <w:rPr>
          <w:sz w:val="22"/>
          <w:szCs w:val="22"/>
        </w:rPr>
        <w:t>progress CBRE ha</w:t>
      </w:r>
      <w:r w:rsidRPr="00232537">
        <w:rPr>
          <w:sz w:val="22"/>
          <w:szCs w:val="22"/>
        </w:rPr>
        <w:t>d</w:t>
      </w:r>
      <w:r w:rsidR="00041511" w:rsidRPr="00232537">
        <w:rPr>
          <w:sz w:val="22"/>
          <w:szCs w:val="22"/>
        </w:rPr>
        <w:t xml:space="preserve"> made in 2025 in supporting the goal of net-zero greenhouse gas emissions by 2050 or sooner, in line with global efforts to limit warming to 1.5°c, and to supporting investing aligned with net-zero emissions by 2050 or sooner. </w:t>
      </w:r>
    </w:p>
    <w:p w14:paraId="7F07169E" w14:textId="77777777" w:rsidR="009B489B" w:rsidRPr="00232537" w:rsidRDefault="009B489B" w:rsidP="00041511">
      <w:pPr>
        <w:pStyle w:val="Default"/>
        <w:rPr>
          <w:sz w:val="22"/>
          <w:szCs w:val="22"/>
        </w:rPr>
      </w:pPr>
    </w:p>
    <w:p w14:paraId="60FEE69A" w14:textId="669B916B" w:rsidR="00041511" w:rsidRPr="00232537" w:rsidRDefault="00041511" w:rsidP="00041511">
      <w:pPr>
        <w:pStyle w:val="Default"/>
        <w:rPr>
          <w:sz w:val="22"/>
          <w:szCs w:val="22"/>
        </w:rPr>
      </w:pPr>
      <w:r w:rsidRPr="00232537">
        <w:rPr>
          <w:sz w:val="22"/>
          <w:szCs w:val="22"/>
        </w:rPr>
        <w:t>CBRE IM Indirect business published its 2024 TCFD Entity Level Report</w:t>
      </w:r>
      <w:r w:rsidR="009B489B" w:rsidRPr="00232537">
        <w:rPr>
          <w:sz w:val="22"/>
          <w:szCs w:val="22"/>
        </w:rPr>
        <w:t xml:space="preserve"> which</w:t>
      </w:r>
      <w:r w:rsidRPr="00232537">
        <w:rPr>
          <w:sz w:val="22"/>
          <w:szCs w:val="22"/>
        </w:rPr>
        <w:t xml:space="preserve"> articulates </w:t>
      </w:r>
      <w:r w:rsidR="009B489B" w:rsidRPr="00232537">
        <w:rPr>
          <w:sz w:val="22"/>
          <w:szCs w:val="22"/>
        </w:rPr>
        <w:t>their</w:t>
      </w:r>
      <w:r w:rsidRPr="00232537">
        <w:rPr>
          <w:sz w:val="22"/>
          <w:szCs w:val="22"/>
        </w:rPr>
        <w:t xml:space="preserve"> approach to assessing climate risks and opportunities informed by the Task Force on Climate-related Financial Disclosures (TCFD) at CBRE Investment Management Indirect Limited</w:t>
      </w:r>
      <w:r w:rsidR="009B489B" w:rsidRPr="00232537">
        <w:rPr>
          <w:sz w:val="22"/>
          <w:szCs w:val="22"/>
        </w:rPr>
        <w:t xml:space="preserve">. </w:t>
      </w:r>
      <w:r w:rsidRPr="00232537">
        <w:rPr>
          <w:sz w:val="22"/>
          <w:szCs w:val="22"/>
        </w:rPr>
        <w:t xml:space="preserve">It also highlights the actions </w:t>
      </w:r>
      <w:r w:rsidR="009B489B" w:rsidRPr="00232537">
        <w:rPr>
          <w:sz w:val="22"/>
          <w:szCs w:val="22"/>
        </w:rPr>
        <w:t>being taken</w:t>
      </w:r>
      <w:r w:rsidRPr="00232537">
        <w:rPr>
          <w:sz w:val="22"/>
          <w:szCs w:val="22"/>
        </w:rPr>
        <w:t xml:space="preserve"> to improve asset performance and build climate resilience across </w:t>
      </w:r>
      <w:r w:rsidR="009B489B" w:rsidRPr="00232537">
        <w:rPr>
          <w:sz w:val="22"/>
          <w:szCs w:val="22"/>
        </w:rPr>
        <w:t>their</w:t>
      </w:r>
      <w:r w:rsidRPr="00232537">
        <w:rPr>
          <w:sz w:val="22"/>
          <w:szCs w:val="22"/>
        </w:rPr>
        <w:t xml:space="preserve"> platform. </w:t>
      </w:r>
    </w:p>
    <w:p w14:paraId="2DE1811B" w14:textId="79269387" w:rsidR="00041511" w:rsidRPr="00232537" w:rsidRDefault="00041511" w:rsidP="00041511">
      <w:pPr>
        <w:pStyle w:val="Default"/>
        <w:rPr>
          <w:sz w:val="22"/>
          <w:szCs w:val="22"/>
        </w:rPr>
      </w:pPr>
      <w:r w:rsidRPr="00232537">
        <w:rPr>
          <w:sz w:val="22"/>
          <w:szCs w:val="22"/>
        </w:rPr>
        <w:t>The report aligns with the TCFD recommendations and endeavo</w:t>
      </w:r>
      <w:r w:rsidR="009B489B" w:rsidRPr="00232537">
        <w:rPr>
          <w:sz w:val="22"/>
          <w:szCs w:val="22"/>
        </w:rPr>
        <w:t>u</w:t>
      </w:r>
      <w:r w:rsidRPr="00232537">
        <w:rPr>
          <w:sz w:val="22"/>
          <w:szCs w:val="22"/>
        </w:rPr>
        <w:t xml:space="preserve">rs to align with other best practices for climate-related reporting, such as IFRS S2 from the International Sustainability Standards Board (ISSB). </w:t>
      </w:r>
    </w:p>
    <w:p w14:paraId="1CDCA379" w14:textId="77777777" w:rsidR="002C0641" w:rsidRPr="00232537" w:rsidRDefault="002C0641" w:rsidP="00041511">
      <w:pPr>
        <w:pStyle w:val="Default"/>
        <w:rPr>
          <w:sz w:val="22"/>
          <w:szCs w:val="22"/>
        </w:rPr>
      </w:pPr>
    </w:p>
    <w:p w14:paraId="5356D599" w14:textId="73A22CA5" w:rsidR="00041511" w:rsidRPr="00232537" w:rsidRDefault="00041511" w:rsidP="00041511">
      <w:pPr>
        <w:pStyle w:val="Default"/>
        <w:rPr>
          <w:sz w:val="22"/>
          <w:szCs w:val="22"/>
        </w:rPr>
      </w:pPr>
      <w:r w:rsidRPr="00232537">
        <w:rPr>
          <w:sz w:val="22"/>
          <w:szCs w:val="22"/>
        </w:rPr>
        <w:t>CBRE’s Net Zero by 2040 and near-term 2030 targets were validated by the SBTi in 2024 and conform with SBTi Criteria and Recommendations (Criteria version 5.2</w:t>
      </w:r>
      <w:r w:rsidR="002C0641" w:rsidRPr="00232537">
        <w:rPr>
          <w:sz w:val="22"/>
          <w:szCs w:val="22"/>
        </w:rPr>
        <w:t>).</w:t>
      </w:r>
    </w:p>
    <w:p w14:paraId="50C3BBC0" w14:textId="77777777" w:rsidR="00041511" w:rsidRPr="00232537" w:rsidRDefault="00041511" w:rsidP="00041511">
      <w:pPr>
        <w:pStyle w:val="Default"/>
        <w:rPr>
          <w:sz w:val="22"/>
          <w:szCs w:val="22"/>
        </w:rPr>
      </w:pPr>
    </w:p>
    <w:p w14:paraId="55197346" w14:textId="24620210" w:rsidR="00041511" w:rsidRPr="00232537" w:rsidRDefault="00041511" w:rsidP="00041511">
      <w:pPr>
        <w:pStyle w:val="Default"/>
        <w:rPr>
          <w:sz w:val="22"/>
          <w:szCs w:val="22"/>
        </w:rPr>
      </w:pPr>
      <w:r w:rsidRPr="00232537">
        <w:rPr>
          <w:sz w:val="22"/>
          <w:szCs w:val="22"/>
        </w:rPr>
        <w:lastRenderedPageBreak/>
        <w:t>The CBRE Transition Strategy is available on</w:t>
      </w:r>
      <w:r w:rsidR="002C0641" w:rsidRPr="00232537">
        <w:rPr>
          <w:sz w:val="22"/>
          <w:szCs w:val="22"/>
        </w:rPr>
        <w:t>line</w:t>
      </w:r>
      <w:r w:rsidR="002C0641" w:rsidRPr="00232537">
        <w:rPr>
          <w:rStyle w:val="FootnoteReference"/>
          <w:sz w:val="22"/>
          <w:szCs w:val="22"/>
        </w:rPr>
        <w:footnoteReference w:id="15"/>
      </w:r>
      <w:r w:rsidR="002C0641" w:rsidRPr="00232537">
        <w:rPr>
          <w:sz w:val="22"/>
          <w:szCs w:val="22"/>
        </w:rPr>
        <w:t>.</w:t>
      </w:r>
    </w:p>
    <w:p w14:paraId="60713F9C" w14:textId="77777777" w:rsidR="002C0641" w:rsidRPr="00232537" w:rsidRDefault="002C0641" w:rsidP="00041511">
      <w:pPr>
        <w:pStyle w:val="Default"/>
        <w:rPr>
          <w:sz w:val="22"/>
          <w:szCs w:val="22"/>
        </w:rPr>
      </w:pPr>
    </w:p>
    <w:p w14:paraId="4C682157" w14:textId="77777777" w:rsidR="00041511" w:rsidRPr="00232537" w:rsidRDefault="00041511" w:rsidP="00041511">
      <w:pPr>
        <w:pStyle w:val="Default"/>
        <w:rPr>
          <w:b/>
          <w:bCs/>
          <w:sz w:val="22"/>
          <w:szCs w:val="22"/>
        </w:rPr>
      </w:pPr>
      <w:r w:rsidRPr="00232537">
        <w:rPr>
          <w:b/>
          <w:bCs/>
          <w:sz w:val="22"/>
          <w:szCs w:val="22"/>
        </w:rPr>
        <w:t xml:space="preserve">CBRE Corporate Responsibility Report </w:t>
      </w:r>
    </w:p>
    <w:p w14:paraId="7CD4CCE9" w14:textId="18B1B1E0" w:rsidR="004C2659" w:rsidRPr="00232537" w:rsidRDefault="00041511" w:rsidP="00041511">
      <w:pPr>
        <w:pStyle w:val="Default"/>
        <w:rPr>
          <w:sz w:val="22"/>
          <w:szCs w:val="22"/>
        </w:rPr>
      </w:pPr>
      <w:r w:rsidRPr="00232537">
        <w:rPr>
          <w:sz w:val="22"/>
          <w:szCs w:val="22"/>
        </w:rPr>
        <w:t xml:space="preserve">The CBRE Group published </w:t>
      </w:r>
      <w:r w:rsidR="002C0641" w:rsidRPr="00232537">
        <w:rPr>
          <w:sz w:val="22"/>
          <w:szCs w:val="22"/>
        </w:rPr>
        <w:t>its</w:t>
      </w:r>
      <w:r w:rsidRPr="00232537">
        <w:rPr>
          <w:sz w:val="22"/>
          <w:szCs w:val="22"/>
        </w:rPr>
        <w:t xml:space="preserve"> 18th annual Corporate Responsibility report. The report highlights </w:t>
      </w:r>
      <w:r w:rsidR="004C2659" w:rsidRPr="00232537">
        <w:rPr>
          <w:sz w:val="22"/>
          <w:szCs w:val="22"/>
        </w:rPr>
        <w:t>how</w:t>
      </w:r>
      <w:r w:rsidRPr="00232537">
        <w:rPr>
          <w:sz w:val="22"/>
          <w:szCs w:val="22"/>
        </w:rPr>
        <w:t xml:space="preserve"> CBRE is </w:t>
      </w:r>
      <w:r w:rsidR="004C2659" w:rsidRPr="00232537">
        <w:rPr>
          <w:sz w:val="22"/>
          <w:szCs w:val="22"/>
        </w:rPr>
        <w:t xml:space="preserve">working to have </w:t>
      </w:r>
      <w:r w:rsidRPr="00232537">
        <w:rPr>
          <w:sz w:val="22"/>
          <w:szCs w:val="22"/>
        </w:rPr>
        <w:t xml:space="preserve">a positive impact on people and communities while delivering superior outcomes for clients. </w:t>
      </w:r>
      <w:r w:rsidR="004C2659" w:rsidRPr="00232537">
        <w:rPr>
          <w:sz w:val="22"/>
          <w:szCs w:val="22"/>
        </w:rPr>
        <w:t>Th</w:t>
      </w:r>
      <w:r w:rsidRPr="00232537">
        <w:rPr>
          <w:sz w:val="22"/>
          <w:szCs w:val="22"/>
        </w:rPr>
        <w:t xml:space="preserve">is year’s report </w:t>
      </w:r>
      <w:r w:rsidR="004C2659" w:rsidRPr="00232537">
        <w:rPr>
          <w:sz w:val="22"/>
          <w:szCs w:val="22"/>
        </w:rPr>
        <w:t>focussed on</w:t>
      </w:r>
      <w:r w:rsidRPr="00232537">
        <w:rPr>
          <w:sz w:val="22"/>
          <w:szCs w:val="22"/>
        </w:rPr>
        <w:t xml:space="preserve"> three key areas: </w:t>
      </w:r>
      <w:r w:rsidR="004C2659" w:rsidRPr="00232537">
        <w:rPr>
          <w:sz w:val="22"/>
          <w:szCs w:val="22"/>
        </w:rPr>
        <w:t>s</w:t>
      </w:r>
      <w:r w:rsidRPr="00232537">
        <w:rPr>
          <w:sz w:val="22"/>
          <w:szCs w:val="22"/>
        </w:rPr>
        <w:t>caling a low carbon future</w:t>
      </w:r>
      <w:r w:rsidR="004C2659" w:rsidRPr="00232537">
        <w:rPr>
          <w:sz w:val="22"/>
          <w:szCs w:val="22"/>
        </w:rPr>
        <w:t>, c</w:t>
      </w:r>
      <w:r w:rsidRPr="00232537">
        <w:rPr>
          <w:sz w:val="22"/>
          <w:szCs w:val="22"/>
        </w:rPr>
        <w:t>reating a thriving workplace</w:t>
      </w:r>
      <w:r w:rsidR="004C2659" w:rsidRPr="00232537">
        <w:rPr>
          <w:sz w:val="22"/>
          <w:szCs w:val="22"/>
        </w:rPr>
        <w:t>, and l</w:t>
      </w:r>
      <w:r w:rsidRPr="00232537">
        <w:rPr>
          <w:sz w:val="22"/>
          <w:szCs w:val="22"/>
        </w:rPr>
        <w:t>eading with integrity</w:t>
      </w:r>
      <w:r w:rsidR="004C2659" w:rsidRPr="00232537">
        <w:rPr>
          <w:sz w:val="22"/>
          <w:szCs w:val="22"/>
        </w:rPr>
        <w:t>.</w:t>
      </w:r>
      <w:r w:rsidRPr="00232537">
        <w:rPr>
          <w:sz w:val="22"/>
          <w:szCs w:val="22"/>
        </w:rPr>
        <w:t xml:space="preserve"> </w:t>
      </w:r>
      <w:r w:rsidR="00232537">
        <w:rPr>
          <w:sz w:val="22"/>
          <w:szCs w:val="22"/>
        </w:rPr>
        <w:t xml:space="preserve"> </w:t>
      </w:r>
      <w:r w:rsidRPr="00232537">
        <w:rPr>
          <w:sz w:val="22"/>
          <w:szCs w:val="22"/>
        </w:rPr>
        <w:t>The report is published online</w:t>
      </w:r>
      <w:r w:rsidR="004C2659" w:rsidRPr="00232537">
        <w:rPr>
          <w:sz w:val="22"/>
          <w:szCs w:val="22"/>
        </w:rPr>
        <w:t>.</w:t>
      </w:r>
      <w:r w:rsidR="004C2659" w:rsidRPr="00232537">
        <w:rPr>
          <w:rStyle w:val="FootnoteReference"/>
          <w:sz w:val="22"/>
          <w:szCs w:val="22"/>
        </w:rPr>
        <w:footnoteReference w:id="16"/>
      </w:r>
    </w:p>
    <w:p w14:paraId="47C84A7C" w14:textId="77777777" w:rsidR="00232537" w:rsidRDefault="00232537" w:rsidP="00041511">
      <w:pPr>
        <w:pStyle w:val="Default"/>
        <w:rPr>
          <w:b/>
          <w:bCs/>
          <w:sz w:val="22"/>
          <w:szCs w:val="22"/>
        </w:rPr>
      </w:pPr>
    </w:p>
    <w:p w14:paraId="3EBB4456" w14:textId="008D4CCF" w:rsidR="004C2659" w:rsidRPr="00232537" w:rsidRDefault="004C2659" w:rsidP="00041511">
      <w:pPr>
        <w:pStyle w:val="Default"/>
        <w:rPr>
          <w:b/>
          <w:bCs/>
          <w:sz w:val="22"/>
          <w:szCs w:val="22"/>
        </w:rPr>
      </w:pPr>
      <w:proofErr w:type="spellStart"/>
      <w:r w:rsidRPr="00232537">
        <w:rPr>
          <w:b/>
          <w:bCs/>
          <w:sz w:val="22"/>
          <w:szCs w:val="22"/>
        </w:rPr>
        <w:t>Shareaction</w:t>
      </w:r>
      <w:proofErr w:type="spellEnd"/>
      <w:r w:rsidRPr="00232537">
        <w:rPr>
          <w:b/>
          <w:bCs/>
          <w:sz w:val="22"/>
          <w:szCs w:val="22"/>
        </w:rPr>
        <w:t xml:space="preserve"> report</w:t>
      </w:r>
    </w:p>
    <w:p w14:paraId="543C8089" w14:textId="77777777" w:rsidR="004C2659" w:rsidRPr="00232537" w:rsidRDefault="00041511" w:rsidP="00041511">
      <w:pPr>
        <w:pStyle w:val="Default"/>
        <w:rPr>
          <w:sz w:val="22"/>
          <w:szCs w:val="22"/>
        </w:rPr>
      </w:pPr>
      <w:proofErr w:type="spellStart"/>
      <w:r w:rsidRPr="00232537">
        <w:rPr>
          <w:sz w:val="22"/>
          <w:szCs w:val="22"/>
        </w:rPr>
        <w:t>ShareAction's</w:t>
      </w:r>
      <w:proofErr w:type="spellEnd"/>
      <w:r w:rsidRPr="00232537">
        <w:rPr>
          <w:sz w:val="22"/>
          <w:szCs w:val="22"/>
        </w:rPr>
        <w:t xml:space="preserve"> report </w:t>
      </w:r>
      <w:r w:rsidRPr="00232537">
        <w:rPr>
          <w:i/>
          <w:iCs/>
          <w:sz w:val="22"/>
          <w:szCs w:val="22"/>
        </w:rPr>
        <w:t>Built to Last? An assessment of 16 major real estate investment managers' climate strategies</w:t>
      </w:r>
      <w:r w:rsidRPr="00232537">
        <w:rPr>
          <w:sz w:val="22"/>
          <w:szCs w:val="22"/>
        </w:rPr>
        <w:t xml:space="preserve"> places CBRE Investment Management 7th place out of 16, and graded C with a score of 59%. Its report sets out 12 key standards on climate action and indicates that CBRE has not met five of them. </w:t>
      </w:r>
      <w:r w:rsidR="004C2659" w:rsidRPr="00232537">
        <w:rPr>
          <w:sz w:val="22"/>
          <w:szCs w:val="22"/>
        </w:rPr>
        <w:t xml:space="preserve">The Trustee asked for CBRE's comments. </w:t>
      </w:r>
      <w:r w:rsidRPr="00232537">
        <w:rPr>
          <w:sz w:val="22"/>
          <w:szCs w:val="22"/>
        </w:rPr>
        <w:t xml:space="preserve"> </w:t>
      </w:r>
    </w:p>
    <w:p w14:paraId="3A3D5D3D" w14:textId="77777777" w:rsidR="004C2659" w:rsidRPr="00232537" w:rsidRDefault="004C2659" w:rsidP="00041511">
      <w:pPr>
        <w:pStyle w:val="Default"/>
        <w:rPr>
          <w:sz w:val="22"/>
          <w:szCs w:val="22"/>
        </w:rPr>
      </w:pPr>
    </w:p>
    <w:p w14:paraId="5B00B8E9" w14:textId="696592EF" w:rsidR="00041511" w:rsidRPr="00232537" w:rsidRDefault="004C2659" w:rsidP="00041511">
      <w:pPr>
        <w:pStyle w:val="Default"/>
        <w:rPr>
          <w:sz w:val="22"/>
          <w:szCs w:val="22"/>
        </w:rPr>
      </w:pPr>
      <w:r w:rsidRPr="00232537">
        <w:rPr>
          <w:sz w:val="22"/>
          <w:szCs w:val="22"/>
        </w:rPr>
        <w:t>CBRE pointed out that the</w:t>
      </w:r>
      <w:r w:rsidR="00041511" w:rsidRPr="00232537">
        <w:rPr>
          <w:sz w:val="22"/>
          <w:szCs w:val="22"/>
        </w:rPr>
        <w:t xml:space="preserve"> definitions provided by </w:t>
      </w:r>
      <w:proofErr w:type="spellStart"/>
      <w:r w:rsidR="00041511" w:rsidRPr="00232537">
        <w:rPr>
          <w:sz w:val="22"/>
          <w:szCs w:val="22"/>
        </w:rPr>
        <w:t>ShareAction</w:t>
      </w:r>
      <w:proofErr w:type="spellEnd"/>
      <w:r w:rsidR="00041511" w:rsidRPr="00232537">
        <w:rPr>
          <w:sz w:val="22"/>
          <w:szCs w:val="22"/>
        </w:rPr>
        <w:t xml:space="preserve"> include the following statement, pertinent to the Osiris fund which is an </w:t>
      </w:r>
      <w:r w:rsidRPr="00232537">
        <w:rPr>
          <w:sz w:val="22"/>
          <w:szCs w:val="22"/>
        </w:rPr>
        <w:t>i</w:t>
      </w:r>
      <w:r w:rsidR="00041511" w:rsidRPr="00232537">
        <w:rPr>
          <w:sz w:val="22"/>
          <w:szCs w:val="22"/>
        </w:rPr>
        <w:t>ndirect product</w:t>
      </w:r>
      <w:proofErr w:type="gramStart"/>
      <w:r w:rsidR="00041511" w:rsidRPr="00232537">
        <w:rPr>
          <w:sz w:val="22"/>
          <w:szCs w:val="22"/>
        </w:rPr>
        <w:t xml:space="preserve">: </w:t>
      </w:r>
      <w:r w:rsidRPr="00232537">
        <w:rPr>
          <w:sz w:val="22"/>
          <w:szCs w:val="22"/>
        </w:rPr>
        <w:t xml:space="preserve"> </w:t>
      </w:r>
      <w:r w:rsidR="00041511" w:rsidRPr="00232537">
        <w:rPr>
          <w:i/>
          <w:iCs/>
          <w:sz w:val="22"/>
          <w:szCs w:val="22"/>
        </w:rPr>
        <w:t>“</w:t>
      </w:r>
      <w:proofErr w:type="gramEnd"/>
      <w:r w:rsidR="00041511" w:rsidRPr="00232537">
        <w:rPr>
          <w:i/>
          <w:iCs/>
          <w:sz w:val="22"/>
          <w:szCs w:val="22"/>
        </w:rPr>
        <w:t xml:space="preserve">Investment managers use several investment strategies. In this report direct investment refers to investments made by investment managers in physical buildings or developments. Investment managers exercise greater control over </w:t>
      </w:r>
      <w:proofErr w:type="gramStart"/>
      <w:r w:rsidR="00041511" w:rsidRPr="00232537">
        <w:rPr>
          <w:i/>
          <w:iCs/>
          <w:sz w:val="22"/>
          <w:szCs w:val="22"/>
        </w:rPr>
        <w:t>directly-held</w:t>
      </w:r>
      <w:proofErr w:type="gramEnd"/>
      <w:r w:rsidR="00041511" w:rsidRPr="00232537">
        <w:rPr>
          <w:i/>
          <w:iCs/>
          <w:sz w:val="22"/>
          <w:szCs w:val="22"/>
        </w:rPr>
        <w:t xml:space="preserve"> assets, especially where they have discretion to make investment decisions. Direct investments are the focus of this report. </w:t>
      </w:r>
    </w:p>
    <w:p w14:paraId="45C2B9DB" w14:textId="57A0B469" w:rsidR="00041511" w:rsidRPr="00232537" w:rsidRDefault="00041511" w:rsidP="00041511">
      <w:pPr>
        <w:pStyle w:val="Default"/>
        <w:rPr>
          <w:i/>
          <w:iCs/>
          <w:sz w:val="22"/>
          <w:szCs w:val="22"/>
        </w:rPr>
      </w:pPr>
      <w:r w:rsidRPr="00232537">
        <w:rPr>
          <w:i/>
          <w:iCs/>
          <w:sz w:val="22"/>
          <w:szCs w:val="22"/>
        </w:rPr>
        <w:t xml:space="preserve">Investment managers also invest their clients’ money in real estate companies or funds managed by third parties to get indirect exposure to real estate, and in real estate debt. We do not discuss these strategies in any depth in this report.” </w:t>
      </w:r>
    </w:p>
    <w:p w14:paraId="3D6B6483" w14:textId="77777777" w:rsidR="004C2659" w:rsidRDefault="004C2659" w:rsidP="00041511">
      <w:pPr>
        <w:pStyle w:val="Default"/>
        <w:rPr>
          <w:sz w:val="22"/>
          <w:szCs w:val="22"/>
        </w:rPr>
      </w:pPr>
    </w:p>
    <w:p w14:paraId="517F1B5F" w14:textId="272F83E8" w:rsidR="00041511" w:rsidRPr="00232537" w:rsidRDefault="004C2659" w:rsidP="00041511">
      <w:pPr>
        <w:pStyle w:val="Default"/>
        <w:rPr>
          <w:sz w:val="22"/>
          <w:szCs w:val="22"/>
        </w:rPr>
      </w:pPr>
      <w:r w:rsidRPr="00232537">
        <w:rPr>
          <w:sz w:val="22"/>
          <w:szCs w:val="22"/>
        </w:rPr>
        <w:t>CBRE stated that the</w:t>
      </w:r>
      <w:r w:rsidR="00041511" w:rsidRPr="00232537">
        <w:rPr>
          <w:sz w:val="22"/>
          <w:szCs w:val="22"/>
        </w:rPr>
        <w:t xml:space="preserve"> assessment is not specifically addressing the indirect investment strategy of Osiris; </w:t>
      </w:r>
      <w:proofErr w:type="gramStart"/>
      <w:r w:rsidR="00041511" w:rsidRPr="00232537">
        <w:rPr>
          <w:sz w:val="22"/>
          <w:szCs w:val="22"/>
        </w:rPr>
        <w:t>however</w:t>
      </w:r>
      <w:proofErr w:type="gramEnd"/>
      <w:r w:rsidR="00041511" w:rsidRPr="00232537">
        <w:rPr>
          <w:sz w:val="22"/>
          <w:szCs w:val="22"/>
        </w:rPr>
        <w:t xml:space="preserve"> </w:t>
      </w:r>
      <w:r w:rsidRPr="00232537">
        <w:rPr>
          <w:sz w:val="22"/>
          <w:szCs w:val="22"/>
        </w:rPr>
        <w:t>they had</w:t>
      </w:r>
      <w:r w:rsidR="00041511" w:rsidRPr="00232537">
        <w:rPr>
          <w:sz w:val="22"/>
          <w:szCs w:val="22"/>
        </w:rPr>
        <w:t xml:space="preserve"> reviewed the report, engaged directly with </w:t>
      </w:r>
      <w:proofErr w:type="spellStart"/>
      <w:r w:rsidR="00041511" w:rsidRPr="00232537">
        <w:rPr>
          <w:sz w:val="22"/>
          <w:szCs w:val="22"/>
        </w:rPr>
        <w:t>ShareAction</w:t>
      </w:r>
      <w:proofErr w:type="spellEnd"/>
      <w:r w:rsidR="00041511" w:rsidRPr="00232537">
        <w:rPr>
          <w:sz w:val="22"/>
          <w:szCs w:val="22"/>
        </w:rPr>
        <w:t xml:space="preserve"> and </w:t>
      </w:r>
      <w:r w:rsidRPr="00232537">
        <w:rPr>
          <w:sz w:val="22"/>
          <w:szCs w:val="22"/>
        </w:rPr>
        <w:t>were</w:t>
      </w:r>
      <w:r w:rsidR="00041511" w:rsidRPr="00232537">
        <w:rPr>
          <w:sz w:val="22"/>
          <w:szCs w:val="22"/>
        </w:rPr>
        <w:t xml:space="preserve"> happy to share </w:t>
      </w:r>
      <w:r w:rsidRPr="00232537">
        <w:rPr>
          <w:sz w:val="22"/>
          <w:szCs w:val="22"/>
        </w:rPr>
        <w:t>their</w:t>
      </w:r>
      <w:r w:rsidR="00041511" w:rsidRPr="00232537">
        <w:rPr>
          <w:sz w:val="22"/>
          <w:szCs w:val="22"/>
        </w:rPr>
        <w:t xml:space="preserve"> approach as a business</w:t>
      </w:r>
      <w:r w:rsidRPr="00232537">
        <w:rPr>
          <w:sz w:val="22"/>
          <w:szCs w:val="22"/>
        </w:rPr>
        <w:t xml:space="preserve">. They </w:t>
      </w:r>
      <w:r w:rsidR="00041511" w:rsidRPr="00232537">
        <w:rPr>
          <w:sz w:val="22"/>
          <w:szCs w:val="22"/>
        </w:rPr>
        <w:t>welcome</w:t>
      </w:r>
      <w:r w:rsidRPr="00232537">
        <w:rPr>
          <w:sz w:val="22"/>
          <w:szCs w:val="22"/>
        </w:rPr>
        <w:t>d</w:t>
      </w:r>
      <w:r w:rsidR="00041511" w:rsidRPr="00232537">
        <w:rPr>
          <w:sz w:val="22"/>
          <w:szCs w:val="22"/>
        </w:rPr>
        <w:t xml:space="preserve"> </w:t>
      </w:r>
      <w:proofErr w:type="spellStart"/>
      <w:r w:rsidR="00041511" w:rsidRPr="00232537">
        <w:rPr>
          <w:sz w:val="22"/>
          <w:szCs w:val="22"/>
        </w:rPr>
        <w:t>ShareAction’s</w:t>
      </w:r>
      <w:proofErr w:type="spellEnd"/>
      <w:r w:rsidR="00041511" w:rsidRPr="00232537">
        <w:rPr>
          <w:sz w:val="22"/>
          <w:szCs w:val="22"/>
        </w:rPr>
        <w:t xml:space="preserve"> assessment of investment managers and their recognition of the work </w:t>
      </w:r>
      <w:proofErr w:type="gramStart"/>
      <w:r w:rsidRPr="00232537">
        <w:rPr>
          <w:sz w:val="22"/>
          <w:szCs w:val="22"/>
        </w:rPr>
        <w:t xml:space="preserve">they </w:t>
      </w:r>
      <w:r w:rsidR="00041511" w:rsidRPr="00232537">
        <w:rPr>
          <w:sz w:val="22"/>
          <w:szCs w:val="22"/>
        </w:rPr>
        <w:t xml:space="preserve"> are</w:t>
      </w:r>
      <w:proofErr w:type="gramEnd"/>
      <w:r w:rsidR="00041511" w:rsidRPr="00232537">
        <w:rPr>
          <w:sz w:val="22"/>
          <w:szCs w:val="22"/>
        </w:rPr>
        <w:t xml:space="preserve"> doing. </w:t>
      </w:r>
      <w:r w:rsidRPr="00232537">
        <w:rPr>
          <w:sz w:val="22"/>
          <w:szCs w:val="22"/>
        </w:rPr>
        <w:t xml:space="preserve">CBRE summarised their </w:t>
      </w:r>
      <w:r w:rsidR="00041511" w:rsidRPr="00232537">
        <w:rPr>
          <w:sz w:val="22"/>
          <w:szCs w:val="22"/>
        </w:rPr>
        <w:t xml:space="preserve">initial findings from </w:t>
      </w:r>
      <w:proofErr w:type="gramStart"/>
      <w:r w:rsidRPr="00232537">
        <w:rPr>
          <w:sz w:val="22"/>
          <w:szCs w:val="22"/>
        </w:rPr>
        <w:t xml:space="preserve">their </w:t>
      </w:r>
      <w:r w:rsidR="00041511" w:rsidRPr="00232537">
        <w:rPr>
          <w:sz w:val="22"/>
          <w:szCs w:val="22"/>
        </w:rPr>
        <w:t xml:space="preserve"> review</w:t>
      </w:r>
      <w:proofErr w:type="gramEnd"/>
      <w:r w:rsidR="00041511" w:rsidRPr="00232537">
        <w:rPr>
          <w:sz w:val="22"/>
          <w:szCs w:val="22"/>
        </w:rPr>
        <w:t xml:space="preserve"> of the </w:t>
      </w:r>
      <w:proofErr w:type="spellStart"/>
      <w:r w:rsidR="00041511" w:rsidRPr="00232537">
        <w:rPr>
          <w:sz w:val="22"/>
          <w:szCs w:val="22"/>
        </w:rPr>
        <w:t>ShareAction</w:t>
      </w:r>
      <w:proofErr w:type="spellEnd"/>
      <w:r w:rsidR="00041511" w:rsidRPr="00232537">
        <w:rPr>
          <w:sz w:val="22"/>
          <w:szCs w:val="22"/>
        </w:rPr>
        <w:t xml:space="preserve"> assessment: </w:t>
      </w:r>
    </w:p>
    <w:p w14:paraId="1F80D2D6" w14:textId="77777777" w:rsidR="004C2659" w:rsidRPr="00232537" w:rsidRDefault="004C2659" w:rsidP="00041511">
      <w:pPr>
        <w:pStyle w:val="Default"/>
        <w:rPr>
          <w:sz w:val="22"/>
          <w:szCs w:val="22"/>
        </w:rPr>
      </w:pPr>
    </w:p>
    <w:p w14:paraId="1449F982" w14:textId="77777777" w:rsidR="00041511" w:rsidRPr="00232537" w:rsidRDefault="00041511" w:rsidP="00041511">
      <w:pPr>
        <w:pStyle w:val="Default"/>
        <w:rPr>
          <w:sz w:val="22"/>
          <w:szCs w:val="22"/>
        </w:rPr>
      </w:pPr>
      <w:r w:rsidRPr="00232537">
        <w:rPr>
          <w:sz w:val="22"/>
          <w:szCs w:val="22"/>
        </w:rPr>
        <w:t xml:space="preserve">Targeting Energy Intensity Reduction </w:t>
      </w:r>
    </w:p>
    <w:p w14:paraId="74F5BC93" w14:textId="5BAEB5F9" w:rsidR="00041511" w:rsidRPr="00232537" w:rsidRDefault="004C2659" w:rsidP="00041511">
      <w:pPr>
        <w:pStyle w:val="Default"/>
        <w:rPr>
          <w:sz w:val="22"/>
          <w:szCs w:val="22"/>
        </w:rPr>
      </w:pPr>
      <w:r w:rsidRPr="00232537">
        <w:rPr>
          <w:sz w:val="22"/>
          <w:szCs w:val="22"/>
        </w:rPr>
        <w:t>CBRE</w:t>
      </w:r>
      <w:r w:rsidR="00041511" w:rsidRPr="00232537">
        <w:rPr>
          <w:sz w:val="22"/>
          <w:szCs w:val="22"/>
        </w:rPr>
        <w:t xml:space="preserve"> have a well-documented path to decarbonisation which prioritizes energy reduction as the first step (Page 19 for reference of CBRE’s Transition Plan). </w:t>
      </w:r>
    </w:p>
    <w:p w14:paraId="12505721" w14:textId="2DD0EDDA" w:rsidR="00041511" w:rsidRPr="00232537" w:rsidRDefault="00041511" w:rsidP="00041511">
      <w:pPr>
        <w:pStyle w:val="Default"/>
        <w:rPr>
          <w:sz w:val="22"/>
          <w:szCs w:val="22"/>
        </w:rPr>
      </w:pPr>
      <w:r w:rsidRPr="00232537">
        <w:rPr>
          <w:sz w:val="22"/>
          <w:szCs w:val="22"/>
        </w:rPr>
        <w:t xml:space="preserve">Resource efficiency is considered at all phases of the investment lifecycle. From 2019-2023, </w:t>
      </w:r>
      <w:r w:rsidR="004C2659" w:rsidRPr="00232537">
        <w:rPr>
          <w:sz w:val="22"/>
          <w:szCs w:val="22"/>
        </w:rPr>
        <w:t>CBRE</w:t>
      </w:r>
      <w:r w:rsidRPr="00232537">
        <w:rPr>
          <w:sz w:val="22"/>
          <w:szCs w:val="22"/>
        </w:rPr>
        <w:t xml:space="preserve"> reduced our energy intensity by 20% (we are on track to reduce energy intensity 50% by 2030). Often, </w:t>
      </w:r>
      <w:r w:rsidR="004C2659" w:rsidRPr="00232537">
        <w:rPr>
          <w:sz w:val="22"/>
          <w:szCs w:val="22"/>
        </w:rPr>
        <w:t>they</w:t>
      </w:r>
      <w:r w:rsidRPr="00232537">
        <w:rPr>
          <w:sz w:val="22"/>
          <w:szCs w:val="22"/>
        </w:rPr>
        <w:t xml:space="preserve"> do not have operational control, for example triple net leases, making it more challenging to drive energy efficiency. In these cases, </w:t>
      </w:r>
      <w:r w:rsidR="004C2659" w:rsidRPr="00232537">
        <w:rPr>
          <w:sz w:val="22"/>
          <w:szCs w:val="22"/>
        </w:rPr>
        <w:t>CBRE</w:t>
      </w:r>
      <w:r w:rsidRPr="00232537">
        <w:rPr>
          <w:sz w:val="22"/>
          <w:szCs w:val="22"/>
        </w:rPr>
        <w:t xml:space="preserve"> try to engage with tenants to encourage sustainability best practices</w:t>
      </w:r>
      <w:r w:rsidR="004C2659" w:rsidRPr="00232537">
        <w:rPr>
          <w:sz w:val="22"/>
          <w:szCs w:val="22"/>
        </w:rPr>
        <w:t>.</w:t>
      </w:r>
    </w:p>
    <w:p w14:paraId="47FC6992" w14:textId="77777777" w:rsidR="004C2659" w:rsidRPr="00232537" w:rsidRDefault="004C2659" w:rsidP="00041511">
      <w:pPr>
        <w:pStyle w:val="Default"/>
        <w:rPr>
          <w:sz w:val="22"/>
          <w:szCs w:val="22"/>
        </w:rPr>
      </w:pPr>
    </w:p>
    <w:p w14:paraId="2F2B4CE7" w14:textId="77777777" w:rsidR="00041511" w:rsidRPr="00232537" w:rsidRDefault="00041511" w:rsidP="00041511">
      <w:pPr>
        <w:pStyle w:val="Default"/>
        <w:rPr>
          <w:sz w:val="22"/>
          <w:szCs w:val="22"/>
        </w:rPr>
      </w:pPr>
      <w:r w:rsidRPr="00232537">
        <w:rPr>
          <w:sz w:val="22"/>
          <w:szCs w:val="22"/>
        </w:rPr>
        <w:t xml:space="preserve">Embodied Carbon: </w:t>
      </w:r>
    </w:p>
    <w:p w14:paraId="2B321170" w14:textId="7E23098F" w:rsidR="00041511" w:rsidRPr="00232537" w:rsidRDefault="004C2659" w:rsidP="00041511">
      <w:pPr>
        <w:pStyle w:val="Default"/>
        <w:rPr>
          <w:sz w:val="22"/>
          <w:szCs w:val="22"/>
        </w:rPr>
      </w:pPr>
      <w:r w:rsidRPr="00232537">
        <w:rPr>
          <w:sz w:val="22"/>
          <w:szCs w:val="22"/>
        </w:rPr>
        <w:t>CBRE</w:t>
      </w:r>
      <w:r w:rsidR="00041511" w:rsidRPr="00232537">
        <w:rPr>
          <w:sz w:val="22"/>
          <w:szCs w:val="22"/>
        </w:rPr>
        <w:t xml:space="preserve"> recognize th</w:t>
      </w:r>
      <w:r w:rsidRPr="00232537">
        <w:rPr>
          <w:sz w:val="22"/>
          <w:szCs w:val="22"/>
        </w:rPr>
        <w:t>at embodied carbon i</w:t>
      </w:r>
      <w:r w:rsidR="00041511" w:rsidRPr="00232537">
        <w:rPr>
          <w:sz w:val="22"/>
          <w:szCs w:val="22"/>
        </w:rPr>
        <w:t xml:space="preserve">s a key part of decarbonising the real estate sector. While </w:t>
      </w:r>
      <w:proofErr w:type="gramStart"/>
      <w:r w:rsidR="00041511" w:rsidRPr="00232537">
        <w:rPr>
          <w:sz w:val="22"/>
          <w:szCs w:val="22"/>
        </w:rPr>
        <w:t>the vast majority of</w:t>
      </w:r>
      <w:proofErr w:type="gramEnd"/>
      <w:r w:rsidR="00041511" w:rsidRPr="00232537">
        <w:rPr>
          <w:sz w:val="22"/>
          <w:szCs w:val="22"/>
        </w:rPr>
        <w:t xml:space="preserve"> the assets </w:t>
      </w:r>
      <w:r w:rsidRPr="00232537">
        <w:rPr>
          <w:sz w:val="22"/>
          <w:szCs w:val="22"/>
        </w:rPr>
        <w:t>they</w:t>
      </w:r>
      <w:r w:rsidR="00041511" w:rsidRPr="00232537">
        <w:rPr>
          <w:sz w:val="22"/>
          <w:szCs w:val="22"/>
        </w:rPr>
        <w:t xml:space="preserve"> manage are standing and operational assets, </w:t>
      </w:r>
      <w:r w:rsidRPr="00232537">
        <w:rPr>
          <w:sz w:val="22"/>
          <w:szCs w:val="22"/>
        </w:rPr>
        <w:t>they</w:t>
      </w:r>
      <w:r w:rsidR="00041511" w:rsidRPr="00232537">
        <w:rPr>
          <w:sz w:val="22"/>
          <w:szCs w:val="22"/>
        </w:rPr>
        <w:t xml:space="preserve"> have instructed a series of embodied and whole life carbon assessments on </w:t>
      </w:r>
      <w:r w:rsidRPr="00232537">
        <w:rPr>
          <w:sz w:val="22"/>
          <w:szCs w:val="22"/>
        </w:rPr>
        <w:t>their</w:t>
      </w:r>
      <w:r w:rsidR="00041511" w:rsidRPr="00232537">
        <w:rPr>
          <w:sz w:val="22"/>
          <w:szCs w:val="22"/>
        </w:rPr>
        <w:t xml:space="preserve"> newest developments and are developing policies and guides in this area. </w:t>
      </w:r>
    </w:p>
    <w:p w14:paraId="2F12E7BB" w14:textId="77777777" w:rsidR="004C2659" w:rsidRPr="00232537" w:rsidRDefault="004C2659" w:rsidP="00041511">
      <w:pPr>
        <w:pStyle w:val="Default"/>
        <w:rPr>
          <w:sz w:val="22"/>
          <w:szCs w:val="22"/>
        </w:rPr>
      </w:pPr>
    </w:p>
    <w:p w14:paraId="3AD3AF28" w14:textId="77777777" w:rsidR="00041511" w:rsidRPr="00232537" w:rsidRDefault="00041511" w:rsidP="00041511">
      <w:pPr>
        <w:pStyle w:val="Default"/>
        <w:rPr>
          <w:sz w:val="22"/>
          <w:szCs w:val="22"/>
        </w:rPr>
      </w:pPr>
      <w:r w:rsidRPr="00232537">
        <w:rPr>
          <w:sz w:val="22"/>
          <w:szCs w:val="22"/>
        </w:rPr>
        <w:t xml:space="preserve">Expectation to commit to installing no fossil fuel equipment from 2030: </w:t>
      </w:r>
    </w:p>
    <w:p w14:paraId="5E73E4A4" w14:textId="55BD622A" w:rsidR="00041511" w:rsidRPr="00232537" w:rsidRDefault="00041511" w:rsidP="00041511">
      <w:pPr>
        <w:pStyle w:val="Default"/>
        <w:rPr>
          <w:sz w:val="22"/>
          <w:szCs w:val="22"/>
        </w:rPr>
      </w:pPr>
      <w:r w:rsidRPr="00232537">
        <w:rPr>
          <w:sz w:val="22"/>
          <w:szCs w:val="22"/>
        </w:rPr>
        <w:lastRenderedPageBreak/>
        <w:t xml:space="preserve">While </w:t>
      </w:r>
      <w:r w:rsidR="004C2659" w:rsidRPr="00232537">
        <w:rPr>
          <w:sz w:val="22"/>
          <w:szCs w:val="22"/>
        </w:rPr>
        <w:t>CBRE</w:t>
      </w:r>
      <w:r w:rsidRPr="00232537">
        <w:rPr>
          <w:sz w:val="22"/>
          <w:szCs w:val="22"/>
        </w:rPr>
        <w:t xml:space="preserve"> are generally in alignment with this expectation for assets </w:t>
      </w:r>
      <w:r w:rsidR="004C2659" w:rsidRPr="00232537">
        <w:rPr>
          <w:sz w:val="22"/>
          <w:szCs w:val="22"/>
        </w:rPr>
        <w:t xml:space="preserve">within their </w:t>
      </w:r>
      <w:r w:rsidRPr="00232537">
        <w:rPr>
          <w:sz w:val="22"/>
          <w:szCs w:val="22"/>
        </w:rPr>
        <w:t>direct control, alignment for areas within the control of tenants is more challenging, particularly where business</w:t>
      </w:r>
      <w:r w:rsidR="004C2659" w:rsidRPr="00232537">
        <w:rPr>
          <w:sz w:val="22"/>
          <w:szCs w:val="22"/>
        </w:rPr>
        <w:t>-</w:t>
      </w:r>
      <w:r w:rsidRPr="00232537">
        <w:rPr>
          <w:sz w:val="22"/>
          <w:szCs w:val="22"/>
        </w:rPr>
        <w:t xml:space="preserve">critical tasks like high heat thermal processes are involved. </w:t>
      </w:r>
      <w:r w:rsidR="004C2659" w:rsidRPr="00232537">
        <w:rPr>
          <w:sz w:val="22"/>
          <w:szCs w:val="22"/>
        </w:rPr>
        <w:t>They</w:t>
      </w:r>
      <w:r w:rsidRPr="00232537">
        <w:rPr>
          <w:sz w:val="22"/>
          <w:szCs w:val="22"/>
        </w:rPr>
        <w:t xml:space="preserve"> engage with </w:t>
      </w:r>
      <w:r w:rsidR="004C2659" w:rsidRPr="00232537">
        <w:rPr>
          <w:sz w:val="22"/>
          <w:szCs w:val="22"/>
        </w:rPr>
        <w:t>thei</w:t>
      </w:r>
      <w:r w:rsidRPr="00232537">
        <w:rPr>
          <w:sz w:val="22"/>
          <w:szCs w:val="22"/>
        </w:rPr>
        <w:t xml:space="preserve">r tenants to encourage sustainability best practices, as well as engaging with industry bodies (e.g., the BBP in the UK) to develop new approaches for working with tenants and other stakeholders. </w:t>
      </w:r>
    </w:p>
    <w:p w14:paraId="0A32CC63" w14:textId="77777777" w:rsidR="004C2659" w:rsidRPr="00232537" w:rsidRDefault="004C2659" w:rsidP="00041511">
      <w:pPr>
        <w:pStyle w:val="Default"/>
        <w:rPr>
          <w:sz w:val="22"/>
          <w:szCs w:val="22"/>
        </w:rPr>
      </w:pPr>
    </w:p>
    <w:p w14:paraId="5CED183F" w14:textId="1B2752DE" w:rsidR="00041511" w:rsidRDefault="004C2659" w:rsidP="00041511">
      <w:pPr>
        <w:pStyle w:val="Default"/>
        <w:rPr>
          <w:sz w:val="22"/>
          <w:szCs w:val="22"/>
        </w:rPr>
      </w:pPr>
      <w:r w:rsidRPr="00232537">
        <w:rPr>
          <w:sz w:val="22"/>
          <w:szCs w:val="22"/>
        </w:rPr>
        <w:t>CBRE added that a</w:t>
      </w:r>
      <w:r w:rsidR="00041511" w:rsidRPr="00232537">
        <w:rPr>
          <w:sz w:val="22"/>
          <w:szCs w:val="22"/>
        </w:rPr>
        <w:t xml:space="preserve">s stewards of capital, CBRE Investment Management has a fiduciary duty to safeguard the long-term value of </w:t>
      </w:r>
      <w:r w:rsidRPr="00232537">
        <w:rPr>
          <w:sz w:val="22"/>
          <w:szCs w:val="22"/>
        </w:rPr>
        <w:t>their</w:t>
      </w:r>
      <w:r w:rsidR="00041511">
        <w:rPr>
          <w:sz w:val="22"/>
          <w:szCs w:val="22"/>
        </w:rPr>
        <w:t xml:space="preserve"> investments and deliver sustainable returns to </w:t>
      </w:r>
      <w:r>
        <w:rPr>
          <w:sz w:val="22"/>
          <w:szCs w:val="22"/>
        </w:rPr>
        <w:t>their</w:t>
      </w:r>
      <w:r w:rsidR="00041511">
        <w:rPr>
          <w:sz w:val="22"/>
          <w:szCs w:val="22"/>
        </w:rPr>
        <w:t xml:space="preserve"> clients. By integrating climate risk into our investment processes and decision-making frameworks where consistent with </w:t>
      </w:r>
      <w:r>
        <w:rPr>
          <w:sz w:val="22"/>
          <w:szCs w:val="22"/>
        </w:rPr>
        <w:t>their</w:t>
      </w:r>
      <w:r w:rsidR="00041511">
        <w:rPr>
          <w:sz w:val="22"/>
          <w:szCs w:val="22"/>
        </w:rPr>
        <w:t xml:space="preserve"> clients’ investment objectives, </w:t>
      </w:r>
      <w:r>
        <w:rPr>
          <w:sz w:val="22"/>
          <w:szCs w:val="22"/>
        </w:rPr>
        <w:t xml:space="preserve">they strengthen their </w:t>
      </w:r>
      <w:r w:rsidR="00041511">
        <w:rPr>
          <w:sz w:val="22"/>
          <w:szCs w:val="22"/>
        </w:rPr>
        <w:t xml:space="preserve">resilience against systemic shocks, regulatory shifts and market disruptions. </w:t>
      </w:r>
      <w:r>
        <w:rPr>
          <w:sz w:val="22"/>
          <w:szCs w:val="22"/>
        </w:rPr>
        <w:t>CBRE</w:t>
      </w:r>
      <w:r w:rsidR="00041511">
        <w:rPr>
          <w:sz w:val="22"/>
          <w:szCs w:val="22"/>
        </w:rPr>
        <w:t xml:space="preserve"> believe that </w:t>
      </w:r>
      <w:r>
        <w:rPr>
          <w:sz w:val="22"/>
          <w:szCs w:val="22"/>
        </w:rPr>
        <w:t>their</w:t>
      </w:r>
      <w:r w:rsidR="00041511">
        <w:rPr>
          <w:sz w:val="22"/>
          <w:szCs w:val="22"/>
        </w:rPr>
        <w:t xml:space="preserve"> approach is essential to mitigating risk and creating value. </w:t>
      </w:r>
    </w:p>
    <w:p w14:paraId="0EC8026E" w14:textId="06C942B7" w:rsidR="00041511" w:rsidRDefault="004C2659" w:rsidP="00041511">
      <w:pPr>
        <w:pStyle w:val="Default"/>
        <w:rPr>
          <w:sz w:val="22"/>
          <w:szCs w:val="22"/>
        </w:rPr>
      </w:pPr>
      <w:r>
        <w:rPr>
          <w:sz w:val="22"/>
          <w:szCs w:val="22"/>
        </w:rPr>
        <w:t xml:space="preserve">They added that </w:t>
      </w:r>
      <w:r w:rsidR="00041511">
        <w:rPr>
          <w:sz w:val="22"/>
          <w:szCs w:val="22"/>
        </w:rPr>
        <w:t>CBRE IM has an active decarbonisation program</w:t>
      </w:r>
      <w:r>
        <w:rPr>
          <w:sz w:val="22"/>
          <w:szCs w:val="22"/>
        </w:rPr>
        <w:t>me</w:t>
      </w:r>
      <w:r w:rsidR="00041511">
        <w:rPr>
          <w:sz w:val="22"/>
          <w:szCs w:val="22"/>
        </w:rPr>
        <w:t xml:space="preserve">. </w:t>
      </w:r>
      <w:r>
        <w:rPr>
          <w:sz w:val="22"/>
          <w:szCs w:val="22"/>
        </w:rPr>
        <w:t>They</w:t>
      </w:r>
      <w:r w:rsidR="00041511">
        <w:rPr>
          <w:sz w:val="22"/>
          <w:szCs w:val="22"/>
        </w:rPr>
        <w:t xml:space="preserve"> conducted an analysis of progress made for </w:t>
      </w:r>
      <w:r>
        <w:rPr>
          <w:sz w:val="22"/>
          <w:szCs w:val="22"/>
        </w:rPr>
        <w:t>their</w:t>
      </w:r>
      <w:r w:rsidR="00041511">
        <w:rPr>
          <w:sz w:val="22"/>
          <w:szCs w:val="22"/>
        </w:rPr>
        <w:t xml:space="preserve"> global Direct Real Estate portfolio over the past four years from </w:t>
      </w:r>
      <w:r>
        <w:rPr>
          <w:sz w:val="22"/>
          <w:szCs w:val="22"/>
        </w:rPr>
        <w:t>their</w:t>
      </w:r>
      <w:r w:rsidR="00041511">
        <w:rPr>
          <w:sz w:val="22"/>
          <w:szCs w:val="22"/>
        </w:rPr>
        <w:t xml:space="preserve"> 2019 baseline. As a result of </w:t>
      </w:r>
      <w:r>
        <w:rPr>
          <w:sz w:val="22"/>
          <w:szCs w:val="22"/>
        </w:rPr>
        <w:t>their</w:t>
      </w:r>
      <w:r w:rsidR="00041511">
        <w:rPr>
          <w:sz w:val="22"/>
          <w:szCs w:val="22"/>
        </w:rPr>
        <w:t xml:space="preserve"> decarbonisation program</w:t>
      </w:r>
      <w:r>
        <w:rPr>
          <w:sz w:val="22"/>
          <w:szCs w:val="22"/>
        </w:rPr>
        <w:t>me</w:t>
      </w:r>
      <w:r w:rsidR="00041511">
        <w:rPr>
          <w:sz w:val="22"/>
          <w:szCs w:val="22"/>
        </w:rPr>
        <w:t xml:space="preserve">, </w:t>
      </w:r>
      <w:r>
        <w:rPr>
          <w:sz w:val="22"/>
          <w:szCs w:val="22"/>
        </w:rPr>
        <w:t>the</w:t>
      </w:r>
      <w:r w:rsidR="00041511">
        <w:rPr>
          <w:sz w:val="22"/>
          <w:szCs w:val="22"/>
        </w:rPr>
        <w:t xml:space="preserve"> Direct Real Estate investment strategy is on track to meet </w:t>
      </w:r>
      <w:r>
        <w:rPr>
          <w:sz w:val="22"/>
          <w:szCs w:val="22"/>
        </w:rPr>
        <w:t>their</w:t>
      </w:r>
      <w:r w:rsidR="00041511">
        <w:rPr>
          <w:sz w:val="22"/>
          <w:szCs w:val="22"/>
        </w:rPr>
        <w:t xml:space="preserve"> interim GHG target of a 50% reduction in GHG emissions by 2030. </w:t>
      </w:r>
    </w:p>
    <w:p w14:paraId="12911B09" w14:textId="77777777" w:rsidR="004C2659" w:rsidRDefault="004C2659" w:rsidP="00041511">
      <w:pPr>
        <w:pStyle w:val="Default"/>
        <w:rPr>
          <w:sz w:val="22"/>
          <w:szCs w:val="22"/>
        </w:rPr>
      </w:pPr>
    </w:p>
    <w:p w14:paraId="2A11EBC3" w14:textId="4380386B" w:rsidR="00041511" w:rsidRDefault="00041511" w:rsidP="00041511">
      <w:pPr>
        <w:pStyle w:val="Default"/>
        <w:rPr>
          <w:sz w:val="22"/>
          <w:szCs w:val="22"/>
        </w:rPr>
      </w:pPr>
      <w:r>
        <w:rPr>
          <w:sz w:val="22"/>
          <w:szCs w:val="22"/>
        </w:rPr>
        <w:t xml:space="preserve">From 2019-2023, </w:t>
      </w:r>
      <w:r w:rsidR="004C2659">
        <w:rPr>
          <w:sz w:val="22"/>
          <w:szCs w:val="22"/>
        </w:rPr>
        <w:t>CBRE stated that they</w:t>
      </w:r>
      <w:r>
        <w:rPr>
          <w:sz w:val="22"/>
          <w:szCs w:val="22"/>
        </w:rPr>
        <w:t xml:space="preserve">: </w:t>
      </w:r>
    </w:p>
    <w:p w14:paraId="0C8E5B5B" w14:textId="4603CF0D" w:rsidR="00041511" w:rsidRDefault="00041511" w:rsidP="00041511">
      <w:pPr>
        <w:pStyle w:val="Default"/>
        <w:rPr>
          <w:sz w:val="22"/>
          <w:szCs w:val="22"/>
        </w:rPr>
      </w:pPr>
      <w:r>
        <w:rPr>
          <w:sz w:val="22"/>
          <w:szCs w:val="22"/>
        </w:rPr>
        <w:t xml:space="preserve">– Reduced GHG emissions intensity by 21%. </w:t>
      </w:r>
    </w:p>
    <w:p w14:paraId="4C53586C" w14:textId="1B2B0B8E" w:rsidR="00041511" w:rsidRDefault="00041511" w:rsidP="00041511">
      <w:pPr>
        <w:pStyle w:val="Default"/>
        <w:rPr>
          <w:sz w:val="22"/>
          <w:szCs w:val="22"/>
        </w:rPr>
      </w:pPr>
      <w:r>
        <w:rPr>
          <w:sz w:val="22"/>
          <w:szCs w:val="22"/>
        </w:rPr>
        <w:t xml:space="preserve">– Reduced energy intensity by 20%. </w:t>
      </w:r>
    </w:p>
    <w:p w14:paraId="34740113" w14:textId="632D6F11" w:rsidR="00041511" w:rsidRDefault="00041511" w:rsidP="00041511">
      <w:pPr>
        <w:pStyle w:val="Default"/>
        <w:rPr>
          <w:sz w:val="22"/>
          <w:szCs w:val="22"/>
        </w:rPr>
      </w:pPr>
      <w:r>
        <w:rPr>
          <w:sz w:val="22"/>
          <w:szCs w:val="22"/>
        </w:rPr>
        <w:t xml:space="preserve">– Increased </w:t>
      </w:r>
      <w:r w:rsidR="004C2659">
        <w:rPr>
          <w:sz w:val="22"/>
          <w:szCs w:val="22"/>
        </w:rPr>
        <w:t>their</w:t>
      </w:r>
      <w:r>
        <w:rPr>
          <w:sz w:val="22"/>
          <w:szCs w:val="22"/>
        </w:rPr>
        <w:t xml:space="preserve"> use of renewable energy by 503%, consuming 671,000 </w:t>
      </w:r>
      <w:proofErr w:type="spellStart"/>
      <w:r>
        <w:rPr>
          <w:sz w:val="22"/>
          <w:szCs w:val="22"/>
        </w:rPr>
        <w:t>mWh</w:t>
      </w:r>
      <w:proofErr w:type="spellEnd"/>
      <w:r>
        <w:rPr>
          <w:sz w:val="22"/>
          <w:szCs w:val="22"/>
        </w:rPr>
        <w:t xml:space="preserve"> of renewable energy. </w:t>
      </w:r>
    </w:p>
    <w:p w14:paraId="615A0793" w14:textId="51B6B371" w:rsidR="00041511" w:rsidRDefault="00041511" w:rsidP="00041511">
      <w:pPr>
        <w:pStyle w:val="Default"/>
        <w:rPr>
          <w:sz w:val="22"/>
          <w:szCs w:val="22"/>
        </w:rPr>
      </w:pPr>
      <w:r>
        <w:rPr>
          <w:sz w:val="22"/>
          <w:szCs w:val="22"/>
        </w:rPr>
        <w:t xml:space="preserve">– Reduced water intensity by 14%. </w:t>
      </w:r>
    </w:p>
    <w:p w14:paraId="437703DD" w14:textId="70A37AF0" w:rsidR="00041511" w:rsidRDefault="00041511" w:rsidP="00041511">
      <w:pPr>
        <w:pStyle w:val="Default"/>
        <w:rPr>
          <w:sz w:val="22"/>
          <w:szCs w:val="22"/>
        </w:rPr>
      </w:pPr>
      <w:r>
        <w:rPr>
          <w:sz w:val="22"/>
          <w:szCs w:val="22"/>
        </w:rPr>
        <w:t xml:space="preserve">To aid </w:t>
      </w:r>
      <w:r w:rsidR="004C2659">
        <w:rPr>
          <w:sz w:val="22"/>
          <w:szCs w:val="22"/>
        </w:rPr>
        <w:t>their</w:t>
      </w:r>
      <w:r>
        <w:rPr>
          <w:sz w:val="22"/>
          <w:szCs w:val="22"/>
        </w:rPr>
        <w:t xml:space="preserve"> implementation of sustainability initiatives, we secured or issued </w:t>
      </w:r>
      <w:proofErr w:type="gramStart"/>
      <w:r w:rsidR="004C2659">
        <w:rPr>
          <w:sz w:val="22"/>
          <w:szCs w:val="22"/>
        </w:rPr>
        <w:t>US</w:t>
      </w:r>
      <w:r>
        <w:rPr>
          <w:sz w:val="22"/>
          <w:szCs w:val="22"/>
        </w:rPr>
        <w:t>$7.8</w:t>
      </w:r>
      <w:r w:rsidR="004C2659">
        <w:rPr>
          <w:sz w:val="22"/>
          <w:szCs w:val="22"/>
        </w:rPr>
        <w:t>-billion</w:t>
      </w:r>
      <w:proofErr w:type="gramEnd"/>
      <w:r>
        <w:rPr>
          <w:sz w:val="22"/>
          <w:szCs w:val="22"/>
        </w:rPr>
        <w:t xml:space="preserve"> in sustainability-linked financing through 2024.</w:t>
      </w:r>
    </w:p>
    <w:p w14:paraId="61FD7C1F" w14:textId="77777777" w:rsidR="00041511" w:rsidRDefault="00041511" w:rsidP="00041511">
      <w:pPr>
        <w:pStyle w:val="Default"/>
        <w:rPr>
          <w:sz w:val="22"/>
          <w:szCs w:val="22"/>
        </w:rPr>
      </w:pPr>
    </w:p>
    <w:p w14:paraId="30D0869A" w14:textId="2873D00F" w:rsidR="00041511" w:rsidRDefault="004C2659" w:rsidP="00041511">
      <w:pPr>
        <w:pStyle w:val="Default"/>
        <w:rPr>
          <w:sz w:val="22"/>
          <w:szCs w:val="22"/>
        </w:rPr>
      </w:pPr>
      <w:r>
        <w:rPr>
          <w:sz w:val="22"/>
          <w:szCs w:val="22"/>
        </w:rPr>
        <w:t>The Trustee had</w:t>
      </w:r>
      <w:r w:rsidR="00041511">
        <w:rPr>
          <w:sz w:val="22"/>
          <w:szCs w:val="22"/>
        </w:rPr>
        <w:t xml:space="preserve"> welcomed the example </w:t>
      </w:r>
      <w:r>
        <w:rPr>
          <w:sz w:val="22"/>
          <w:szCs w:val="22"/>
        </w:rPr>
        <w:t>CBRE supplied</w:t>
      </w:r>
      <w:r w:rsidR="00041511">
        <w:rPr>
          <w:sz w:val="22"/>
          <w:szCs w:val="22"/>
        </w:rPr>
        <w:t xml:space="preserve"> previously regarding the office development under way at 24-25 St Andrew Square, Edinburgh, </w:t>
      </w:r>
      <w:r>
        <w:rPr>
          <w:sz w:val="22"/>
          <w:szCs w:val="22"/>
        </w:rPr>
        <w:t xml:space="preserve">where the refurbishment plan was </w:t>
      </w:r>
      <w:r w:rsidR="00041511">
        <w:rPr>
          <w:sz w:val="22"/>
          <w:szCs w:val="22"/>
        </w:rPr>
        <w:t xml:space="preserve">to deliver an all-electric building with strong ESG credentials. The plan was to complete the refurbishment, lease the building and exit on completion of the leasing programme, likely in September 2025. </w:t>
      </w:r>
      <w:r>
        <w:rPr>
          <w:sz w:val="22"/>
          <w:szCs w:val="22"/>
        </w:rPr>
        <w:t>The Trustee indicated they</w:t>
      </w:r>
      <w:r w:rsidR="00041511">
        <w:rPr>
          <w:sz w:val="22"/>
          <w:szCs w:val="22"/>
        </w:rPr>
        <w:t xml:space="preserve"> would be grateful for an update, including whether the property was accredited as EPC 'A' and BREEAM 'Excellent' post-completion. </w:t>
      </w:r>
    </w:p>
    <w:p w14:paraId="1C50203D" w14:textId="40B956B1" w:rsidR="00041511" w:rsidRDefault="004C2659" w:rsidP="00041511">
      <w:pPr>
        <w:pStyle w:val="Default"/>
        <w:rPr>
          <w:sz w:val="22"/>
          <w:szCs w:val="22"/>
        </w:rPr>
      </w:pPr>
      <w:r>
        <w:rPr>
          <w:sz w:val="22"/>
          <w:szCs w:val="22"/>
        </w:rPr>
        <w:t>CBRE confirmed that the property had</w:t>
      </w:r>
      <w:r w:rsidR="00041511">
        <w:rPr>
          <w:sz w:val="22"/>
          <w:szCs w:val="22"/>
        </w:rPr>
        <w:t xml:space="preserve"> been fully refurbished, with all new Cat A fit out. </w:t>
      </w:r>
      <w:r>
        <w:rPr>
          <w:sz w:val="22"/>
          <w:szCs w:val="22"/>
        </w:rPr>
        <w:t>T</w:t>
      </w:r>
      <w:r w:rsidR="00041511">
        <w:rPr>
          <w:sz w:val="22"/>
          <w:szCs w:val="22"/>
        </w:rPr>
        <w:t>he traditional façade</w:t>
      </w:r>
      <w:r>
        <w:rPr>
          <w:sz w:val="22"/>
          <w:szCs w:val="22"/>
        </w:rPr>
        <w:t xml:space="preserve"> had been restored</w:t>
      </w:r>
      <w:r w:rsidR="00041511">
        <w:rPr>
          <w:sz w:val="22"/>
          <w:szCs w:val="22"/>
        </w:rPr>
        <w:t xml:space="preserve"> to its full </w:t>
      </w:r>
      <w:proofErr w:type="gramStart"/>
      <w:r w:rsidR="00041511">
        <w:rPr>
          <w:sz w:val="22"/>
          <w:szCs w:val="22"/>
        </w:rPr>
        <w:t>grandeur</w:t>
      </w:r>
      <w:proofErr w:type="gramEnd"/>
      <w:r w:rsidR="00041511">
        <w:rPr>
          <w:sz w:val="22"/>
          <w:szCs w:val="22"/>
        </w:rPr>
        <w:t xml:space="preserve"> and </w:t>
      </w:r>
      <w:r w:rsidR="007D6298">
        <w:rPr>
          <w:sz w:val="22"/>
          <w:szCs w:val="22"/>
        </w:rPr>
        <w:t>they had</w:t>
      </w:r>
      <w:r w:rsidR="00041511">
        <w:rPr>
          <w:sz w:val="22"/>
          <w:szCs w:val="22"/>
        </w:rPr>
        <w:t xml:space="preserve"> overhauled the retained building exterior. Amenities </w:t>
      </w:r>
      <w:r w:rsidR="007D6298">
        <w:rPr>
          <w:sz w:val="22"/>
          <w:szCs w:val="22"/>
        </w:rPr>
        <w:t>had</w:t>
      </w:r>
      <w:r w:rsidR="00041511">
        <w:rPr>
          <w:sz w:val="22"/>
          <w:szCs w:val="22"/>
        </w:rPr>
        <w:t xml:space="preserve"> been introduced to enhance accessibility and user experience, and the services have been replaced for all electric “no combustion” operation. Together with fresh modern interior design, </w:t>
      </w:r>
      <w:r w:rsidR="007D6298">
        <w:rPr>
          <w:sz w:val="22"/>
          <w:szCs w:val="22"/>
        </w:rPr>
        <w:t>CBRE stated that the property offered</w:t>
      </w:r>
      <w:r w:rsidR="00041511">
        <w:rPr>
          <w:sz w:val="22"/>
          <w:szCs w:val="22"/>
        </w:rPr>
        <w:t xml:space="preserve"> a fantastic working environment meeting all ESG requirements. </w:t>
      </w:r>
    </w:p>
    <w:p w14:paraId="2155E4A5" w14:textId="3DE3ACC4" w:rsidR="00041511" w:rsidRDefault="00041511" w:rsidP="00041511">
      <w:pPr>
        <w:pStyle w:val="Default"/>
        <w:rPr>
          <w:sz w:val="22"/>
          <w:szCs w:val="22"/>
        </w:rPr>
      </w:pPr>
      <w:r>
        <w:rPr>
          <w:sz w:val="22"/>
          <w:szCs w:val="22"/>
        </w:rPr>
        <w:t>The refurbishment has achieved an EPC A; whilst they are still awaiting the BREEAM ‘Excellent’ certificate, the team have been assured the scheme has achieved all the required credits.</w:t>
      </w:r>
    </w:p>
    <w:p w14:paraId="05423B0A" w14:textId="77777777" w:rsidR="00041511" w:rsidRDefault="00041511" w:rsidP="00041511">
      <w:pPr>
        <w:pStyle w:val="Default"/>
        <w:rPr>
          <w:sz w:val="22"/>
          <w:szCs w:val="22"/>
        </w:rPr>
      </w:pPr>
    </w:p>
    <w:p w14:paraId="097E581D" w14:textId="2BA899B0" w:rsidR="0024455B" w:rsidRDefault="007D6298" w:rsidP="0024455B">
      <w:pPr>
        <w:pStyle w:val="Default"/>
        <w:rPr>
          <w:sz w:val="22"/>
          <w:szCs w:val="22"/>
        </w:rPr>
      </w:pPr>
      <w:r>
        <w:rPr>
          <w:b/>
          <w:bCs/>
          <w:sz w:val="22"/>
          <w:szCs w:val="22"/>
        </w:rPr>
        <w:t xml:space="preserve">Further example </w:t>
      </w:r>
    </w:p>
    <w:p w14:paraId="4F070AFB" w14:textId="4F4A7BDD" w:rsidR="0024455B" w:rsidRDefault="007D6298" w:rsidP="0024455B">
      <w:pPr>
        <w:pStyle w:val="Default"/>
        <w:rPr>
          <w:sz w:val="22"/>
          <w:szCs w:val="22"/>
        </w:rPr>
      </w:pPr>
      <w:r>
        <w:rPr>
          <w:sz w:val="22"/>
          <w:szCs w:val="22"/>
        </w:rPr>
        <w:t xml:space="preserve">The Trustee indicated that they would welcome further examples of CBRE's activities that would contribute towards the goal of net zero, and CBRE highlighted </w:t>
      </w:r>
      <w:proofErr w:type="spellStart"/>
      <w:r>
        <w:rPr>
          <w:sz w:val="22"/>
          <w:szCs w:val="22"/>
        </w:rPr>
        <w:t>Tritax</w:t>
      </w:r>
      <w:proofErr w:type="spellEnd"/>
      <w:r>
        <w:rPr>
          <w:sz w:val="22"/>
          <w:szCs w:val="22"/>
        </w:rPr>
        <w:t xml:space="preserve"> London Logistics </w:t>
      </w:r>
      <w:proofErr w:type="spellStart"/>
      <w:proofErr w:type="gramStart"/>
      <w:r>
        <w:rPr>
          <w:sz w:val="22"/>
          <w:szCs w:val="22"/>
        </w:rPr>
        <w:t>Fund,</w:t>
      </w:r>
      <w:r w:rsidR="0024455B">
        <w:rPr>
          <w:sz w:val="22"/>
          <w:szCs w:val="22"/>
        </w:rPr>
        <w:t>TLLF</w:t>
      </w:r>
      <w:proofErr w:type="spellEnd"/>
      <w:proofErr w:type="gramEnd"/>
      <w:r>
        <w:rPr>
          <w:sz w:val="22"/>
          <w:szCs w:val="22"/>
        </w:rPr>
        <w:t>, which</w:t>
      </w:r>
      <w:r w:rsidR="0024455B">
        <w:rPr>
          <w:sz w:val="22"/>
          <w:szCs w:val="22"/>
        </w:rPr>
        <w:t xml:space="preserve"> is an £844</w:t>
      </w:r>
      <w:r>
        <w:rPr>
          <w:sz w:val="22"/>
          <w:szCs w:val="22"/>
        </w:rPr>
        <w:t>-</w:t>
      </w:r>
      <w:r w:rsidR="0024455B">
        <w:rPr>
          <w:sz w:val="22"/>
          <w:szCs w:val="22"/>
        </w:rPr>
        <w:t xml:space="preserve">million fund focused on industrial and logistics assets in Greater London, with significant exposure to the Heathrow / West London submarket. The Fund allows for up to 25% of GAV to be subject to development and currently has the target that all new developments will be rated BREEAM ‘Excellent’ or higher and EPC A+. This strategy addresses growing occupier demand for modern, efficient warehouse spaces in key locations. </w:t>
      </w:r>
    </w:p>
    <w:p w14:paraId="53342D65" w14:textId="77777777" w:rsidR="007D6298" w:rsidRDefault="007D6298" w:rsidP="0024455B">
      <w:pPr>
        <w:pStyle w:val="Default"/>
        <w:rPr>
          <w:sz w:val="22"/>
          <w:szCs w:val="22"/>
        </w:rPr>
      </w:pPr>
    </w:p>
    <w:p w14:paraId="2D1E6210" w14:textId="0B98A967" w:rsidR="0024455B" w:rsidRDefault="0024455B" w:rsidP="0024455B">
      <w:pPr>
        <w:pStyle w:val="Default"/>
        <w:rPr>
          <w:sz w:val="22"/>
          <w:szCs w:val="22"/>
        </w:rPr>
      </w:pPr>
      <w:r>
        <w:rPr>
          <w:sz w:val="22"/>
          <w:szCs w:val="22"/>
        </w:rPr>
        <w:t xml:space="preserve">In 2025, the </w:t>
      </w:r>
      <w:r w:rsidR="007D6298">
        <w:rPr>
          <w:sz w:val="22"/>
          <w:szCs w:val="22"/>
        </w:rPr>
        <w:t>f</w:t>
      </w:r>
      <w:r>
        <w:rPr>
          <w:sz w:val="22"/>
          <w:szCs w:val="22"/>
        </w:rPr>
        <w:t xml:space="preserve">und commenced construction of a new 115,225 sq. ft unit at the Blackthorne Point estate in Poyle. The unit is pre-let to DHL on a 15-year lease at a rent of £25.00/sq. ft and, as per the </w:t>
      </w:r>
      <w:r>
        <w:rPr>
          <w:sz w:val="22"/>
          <w:szCs w:val="22"/>
        </w:rPr>
        <w:lastRenderedPageBreak/>
        <w:t xml:space="preserve">Fund’s minimum requirements, the development is targeting EPC A+ and BREEAM ‘Excellent’ ratings, as well as on-site solar PV (c.250 </w:t>
      </w:r>
      <w:proofErr w:type="spellStart"/>
      <w:r>
        <w:rPr>
          <w:sz w:val="22"/>
          <w:szCs w:val="22"/>
        </w:rPr>
        <w:t>kWp</w:t>
      </w:r>
      <w:proofErr w:type="spellEnd"/>
      <w:r>
        <w:rPr>
          <w:sz w:val="22"/>
          <w:szCs w:val="22"/>
        </w:rPr>
        <w:t xml:space="preserve">). As part of the development, the power supply to the site is being upgraded to ensure the new unit will not be powered by fossil fuels and can also service electric vehicle charging infrastructure, thereby supporting DHL’s net zero ambitions to occupy climate-neutral buildings and electrify their first and last mile delivery fleet. Moreover, attenuation tanks are being installed to improve the asset’s resilience to surface water flooding. </w:t>
      </w:r>
    </w:p>
    <w:p w14:paraId="1535AB0A" w14:textId="69A34309" w:rsidR="00041511" w:rsidRDefault="0024455B" w:rsidP="0024455B">
      <w:pPr>
        <w:pStyle w:val="Default"/>
        <w:rPr>
          <w:sz w:val="22"/>
          <w:szCs w:val="22"/>
        </w:rPr>
      </w:pPr>
      <w:r>
        <w:rPr>
          <w:sz w:val="22"/>
          <w:szCs w:val="22"/>
        </w:rPr>
        <w:t xml:space="preserve">The project is expected to complete in Q3 2026, and will further improve the </w:t>
      </w:r>
      <w:r w:rsidR="007D6298">
        <w:rPr>
          <w:sz w:val="22"/>
          <w:szCs w:val="22"/>
        </w:rPr>
        <w:t>f</w:t>
      </w:r>
      <w:r>
        <w:rPr>
          <w:sz w:val="22"/>
          <w:szCs w:val="22"/>
        </w:rPr>
        <w:t>und’s ESG metrics, including increasing the proportion of assets rated EPC A+ from 12% to 17%.</w:t>
      </w:r>
    </w:p>
    <w:p w14:paraId="03271231" w14:textId="77777777" w:rsidR="007D6298" w:rsidRDefault="007D6298" w:rsidP="0024455B">
      <w:pPr>
        <w:pStyle w:val="Default"/>
        <w:rPr>
          <w:sz w:val="22"/>
          <w:szCs w:val="22"/>
        </w:rPr>
      </w:pPr>
    </w:p>
    <w:p w14:paraId="1CF8BCF3" w14:textId="5FA737C8" w:rsidR="007D6298" w:rsidRPr="00927D3A" w:rsidRDefault="007D6298" w:rsidP="007D6298">
      <w:pPr>
        <w:pStyle w:val="Default"/>
        <w:rPr>
          <w:sz w:val="22"/>
          <w:szCs w:val="22"/>
        </w:rPr>
      </w:pPr>
      <w:r>
        <w:rPr>
          <w:sz w:val="22"/>
          <w:szCs w:val="22"/>
        </w:rPr>
        <w:t xml:space="preserve">They stated that the GRESB benchmark Assessment 2025 </w:t>
      </w:r>
      <w:proofErr w:type="gramStart"/>
      <w:r>
        <w:rPr>
          <w:sz w:val="22"/>
          <w:szCs w:val="22"/>
        </w:rPr>
        <w:t>results  had</w:t>
      </w:r>
      <w:proofErr w:type="gramEnd"/>
      <w:r>
        <w:rPr>
          <w:sz w:val="22"/>
          <w:szCs w:val="22"/>
        </w:rPr>
        <w:t xml:space="preserve"> the GRESB score increase from 79/100 to 83/100, </w:t>
      </w:r>
      <w:proofErr w:type="spellStart"/>
      <w:r>
        <w:rPr>
          <w:sz w:val="22"/>
          <w:szCs w:val="22"/>
        </w:rPr>
        <w:t>enviromental</w:t>
      </w:r>
      <w:proofErr w:type="spellEnd"/>
      <w:r>
        <w:rPr>
          <w:sz w:val="22"/>
          <w:szCs w:val="22"/>
        </w:rPr>
        <w:t xml:space="preserve"> score 46/62, full marks for social, 19/20 for governance against a benchmark of 4/11, and a net zero carbon target year of 2040</w:t>
      </w:r>
      <w:r w:rsidR="00927D3A">
        <w:rPr>
          <w:sz w:val="22"/>
          <w:szCs w:val="22"/>
        </w:rPr>
        <w:t>.</w:t>
      </w:r>
    </w:p>
    <w:p w14:paraId="29046CF9" w14:textId="77777777" w:rsidR="007D6298" w:rsidRPr="007D6298" w:rsidRDefault="007D6298" w:rsidP="0024455B">
      <w:pPr>
        <w:pStyle w:val="Default"/>
        <w:rPr>
          <w:color w:val="000000" w:themeColor="text1"/>
          <w:sz w:val="20"/>
          <w:szCs w:val="20"/>
        </w:rPr>
      </w:pPr>
    </w:p>
    <w:p w14:paraId="30EF1C8B" w14:textId="77777777" w:rsidR="00D012D9" w:rsidRDefault="00D012D9" w:rsidP="00D012D9">
      <w:pPr>
        <w:pStyle w:val="Default"/>
        <w:rPr>
          <w:b/>
          <w:bCs/>
          <w:sz w:val="20"/>
          <w:szCs w:val="20"/>
        </w:rPr>
      </w:pPr>
    </w:p>
    <w:p w14:paraId="3601E088" w14:textId="77777777" w:rsidR="00D012D9" w:rsidRPr="00882FFD" w:rsidRDefault="00D012D9" w:rsidP="00D012D9">
      <w:pPr>
        <w:autoSpaceDE w:val="0"/>
        <w:autoSpaceDN w:val="0"/>
        <w:adjustRightInd w:val="0"/>
        <w:rPr>
          <w:rFonts w:cs="Calibri"/>
          <w:b/>
          <w:bCs/>
          <w:sz w:val="20"/>
          <w:szCs w:val="20"/>
        </w:rPr>
      </w:pPr>
      <w:r w:rsidRPr="00882FFD">
        <w:rPr>
          <w:rFonts w:cs="Calibri"/>
          <w:b/>
          <w:bCs/>
          <w:sz w:val="20"/>
          <w:szCs w:val="20"/>
        </w:rPr>
        <w:t>6. Taskforce on Climate Related Financial Disclosures</w:t>
      </w:r>
    </w:p>
    <w:p w14:paraId="2BC4B40B"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As stated in the introduction to this implementation statement, the board chose to try to collect initial data</w:t>
      </w:r>
    </w:p>
    <w:p w14:paraId="343BC770"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and reports from the fund managers in relation to the TCFD recommendations and the information disclosed</w:t>
      </w:r>
    </w:p>
    <w:p w14:paraId="745EEB6D"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 xml:space="preserve">here will assist the board to develop its investment and stewardship policy and strategy </w:t>
      </w:r>
      <w:proofErr w:type="gramStart"/>
      <w:r w:rsidRPr="008E5C1A">
        <w:rPr>
          <w:rFonts w:cs="Calibri"/>
          <w:color w:val="000000" w:themeColor="text1"/>
          <w:sz w:val="20"/>
          <w:szCs w:val="20"/>
        </w:rPr>
        <w:t>with regard to</w:t>
      </w:r>
      <w:proofErr w:type="gramEnd"/>
      <w:r w:rsidRPr="008E5C1A">
        <w:rPr>
          <w:rFonts w:cs="Calibri"/>
          <w:color w:val="000000" w:themeColor="text1"/>
          <w:sz w:val="20"/>
          <w:szCs w:val="20"/>
        </w:rPr>
        <w:t xml:space="preserve"> climate</w:t>
      </w:r>
    </w:p>
    <w:p w14:paraId="787AA955"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change.</w:t>
      </w:r>
    </w:p>
    <w:p w14:paraId="14BF21EF" w14:textId="77777777" w:rsidR="00641F3E" w:rsidRPr="008E5C1A" w:rsidRDefault="00641F3E" w:rsidP="00641F3E">
      <w:pPr>
        <w:autoSpaceDE w:val="0"/>
        <w:autoSpaceDN w:val="0"/>
        <w:adjustRightInd w:val="0"/>
        <w:rPr>
          <w:rFonts w:cs="Calibri"/>
          <w:color w:val="000000" w:themeColor="text1"/>
          <w:sz w:val="20"/>
          <w:szCs w:val="20"/>
        </w:rPr>
      </w:pPr>
    </w:p>
    <w:p w14:paraId="038591A3"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The corporate trustee directors asked the fund managers to</w:t>
      </w:r>
    </w:p>
    <w:p w14:paraId="3630DC74"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 supply their responses to the TCFD recommendations on governance, strategy and risk management;</w:t>
      </w:r>
    </w:p>
    <w:p w14:paraId="0B861780"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and</w:t>
      </w:r>
    </w:p>
    <w:p w14:paraId="3240364F" w14:textId="77777777" w:rsidR="00641F3E" w:rsidRPr="008E5C1A" w:rsidRDefault="00641F3E" w:rsidP="00641F3E">
      <w:pPr>
        <w:autoSpaceDE w:val="0"/>
        <w:autoSpaceDN w:val="0"/>
        <w:adjustRightInd w:val="0"/>
        <w:rPr>
          <w:rFonts w:cs="Calibri"/>
          <w:color w:val="000000" w:themeColor="text1"/>
          <w:sz w:val="20"/>
          <w:szCs w:val="20"/>
        </w:rPr>
      </w:pPr>
      <w:r w:rsidRPr="008E5C1A">
        <w:rPr>
          <w:rFonts w:cs="Calibri"/>
          <w:color w:val="000000" w:themeColor="text1"/>
          <w:sz w:val="20"/>
          <w:szCs w:val="20"/>
        </w:rPr>
        <w:t>• complete the new PLSA carbon emissions template.</w:t>
      </w:r>
    </w:p>
    <w:p w14:paraId="700BCFB4" w14:textId="77777777" w:rsidR="00D012D9" w:rsidRDefault="00D012D9" w:rsidP="00D012D9">
      <w:pPr>
        <w:pStyle w:val="Default"/>
        <w:rPr>
          <w:b/>
          <w:bCs/>
          <w:sz w:val="20"/>
          <w:szCs w:val="20"/>
        </w:rPr>
      </w:pPr>
    </w:p>
    <w:p w14:paraId="0D3BFA9A" w14:textId="51099620" w:rsidR="00232537" w:rsidRDefault="00D012D9" w:rsidP="00232537">
      <w:pPr>
        <w:rPr>
          <w:rFonts w:cs="Calibri"/>
          <w:b/>
          <w:bCs/>
          <w:sz w:val="20"/>
          <w:szCs w:val="20"/>
        </w:rPr>
      </w:pPr>
      <w:r w:rsidRPr="00882FFD">
        <w:rPr>
          <w:rFonts w:cs="Calibri"/>
          <w:b/>
          <w:bCs/>
          <w:sz w:val="20"/>
          <w:szCs w:val="20"/>
        </w:rPr>
        <w:t>6.1 Carbon disclosure metrics</w:t>
      </w:r>
    </w:p>
    <w:p w14:paraId="5AE6E2DB" w14:textId="0345977F" w:rsidR="00AB0A44" w:rsidRDefault="00AB0A44" w:rsidP="00232537">
      <w:pPr>
        <w:rPr>
          <w:rFonts w:cs="Calibri"/>
          <w:b/>
          <w:bCs/>
          <w:sz w:val="20"/>
          <w:szCs w:val="20"/>
        </w:rPr>
      </w:pPr>
      <w:r w:rsidRPr="00AB0A44">
        <w:rPr>
          <w:rFonts w:cs="Calibri"/>
          <w:b/>
          <w:bCs/>
          <w:noProof/>
          <w:sz w:val="20"/>
          <w:szCs w:val="20"/>
        </w:rPr>
        <w:drawing>
          <wp:inline distT="0" distB="0" distL="0" distR="0" wp14:anchorId="1FD191E5" wp14:editId="45D6BEDB">
            <wp:extent cx="4483330" cy="2616334"/>
            <wp:effectExtent l="0" t="0" r="0" b="0"/>
            <wp:docPr id="146624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40013" name=""/>
                    <pic:cNvPicPr/>
                  </pic:nvPicPr>
                  <pic:blipFill>
                    <a:blip r:embed="rId11"/>
                    <a:stretch>
                      <a:fillRect/>
                    </a:stretch>
                  </pic:blipFill>
                  <pic:spPr>
                    <a:xfrm>
                      <a:off x="0" y="0"/>
                      <a:ext cx="4483330" cy="2616334"/>
                    </a:xfrm>
                    <a:prstGeom prst="rect">
                      <a:avLst/>
                    </a:prstGeom>
                  </pic:spPr>
                </pic:pic>
              </a:graphicData>
            </a:graphic>
          </wp:inline>
        </w:drawing>
      </w:r>
    </w:p>
    <w:p w14:paraId="7A7119E0" w14:textId="05EE222C" w:rsidR="00AB0A44" w:rsidRPr="0024154B" w:rsidRDefault="00AB0A44" w:rsidP="00AB0A44">
      <w:pPr>
        <w:pStyle w:val="Default"/>
        <w:rPr>
          <w:i/>
          <w:iCs/>
          <w:color w:val="auto"/>
          <w:sz w:val="20"/>
          <w:szCs w:val="20"/>
        </w:rPr>
      </w:pPr>
      <w:r w:rsidRPr="0024154B">
        <w:rPr>
          <w:i/>
          <w:iCs/>
          <w:color w:val="auto"/>
          <w:sz w:val="20"/>
          <w:szCs w:val="20"/>
        </w:rPr>
        <w:t>Source: Investment managers</w:t>
      </w:r>
      <w:r>
        <w:rPr>
          <w:i/>
          <w:iCs/>
          <w:color w:val="auto"/>
          <w:sz w:val="20"/>
          <w:szCs w:val="20"/>
        </w:rPr>
        <w:t xml:space="preserve">. </w:t>
      </w:r>
      <w:r w:rsidRPr="0024154B">
        <w:rPr>
          <w:i/>
          <w:iCs/>
          <w:color w:val="auto"/>
          <w:sz w:val="20"/>
          <w:szCs w:val="20"/>
        </w:rPr>
        <w:t xml:space="preserve">Data as </w:t>
      </w:r>
      <w:proofErr w:type="gramStart"/>
      <w:r w:rsidRPr="0024154B">
        <w:rPr>
          <w:i/>
          <w:iCs/>
          <w:color w:val="auto"/>
          <w:sz w:val="20"/>
          <w:szCs w:val="20"/>
        </w:rPr>
        <w:t>at</w:t>
      </w:r>
      <w:proofErr w:type="gramEnd"/>
      <w:r w:rsidRPr="0024154B">
        <w:rPr>
          <w:i/>
          <w:iCs/>
          <w:color w:val="auto"/>
          <w:sz w:val="20"/>
          <w:szCs w:val="20"/>
        </w:rPr>
        <w:t xml:space="preserve"> 31 October 202</w:t>
      </w:r>
      <w:r>
        <w:rPr>
          <w:i/>
          <w:iCs/>
          <w:color w:val="auto"/>
          <w:sz w:val="20"/>
          <w:szCs w:val="20"/>
        </w:rPr>
        <w:t>5</w:t>
      </w:r>
      <w:r w:rsidRPr="0024154B">
        <w:rPr>
          <w:i/>
          <w:iCs/>
          <w:color w:val="auto"/>
          <w:sz w:val="20"/>
          <w:szCs w:val="20"/>
        </w:rPr>
        <w:t xml:space="preserve"> (or closest date where data is available)</w:t>
      </w:r>
      <w:r>
        <w:rPr>
          <w:i/>
          <w:iCs/>
          <w:color w:val="auto"/>
          <w:sz w:val="20"/>
          <w:szCs w:val="20"/>
        </w:rPr>
        <w:t>.</w:t>
      </w:r>
    </w:p>
    <w:p w14:paraId="2C1C8B7C" w14:textId="77777777" w:rsidR="00232537" w:rsidRDefault="00232537" w:rsidP="00232537">
      <w:pPr>
        <w:rPr>
          <w:rFonts w:cs="Calibri"/>
          <w:b/>
          <w:bCs/>
          <w:sz w:val="20"/>
          <w:szCs w:val="20"/>
        </w:rPr>
      </w:pPr>
    </w:p>
    <w:p w14:paraId="3F53E323" w14:textId="779A313E" w:rsidR="00232537" w:rsidRDefault="00232537" w:rsidP="00232537">
      <w:pPr>
        <w:pStyle w:val="Default"/>
        <w:rPr>
          <w:b/>
          <w:bCs/>
          <w:color w:val="000000" w:themeColor="text1"/>
          <w:sz w:val="20"/>
          <w:szCs w:val="20"/>
        </w:rPr>
      </w:pPr>
      <w:r>
        <w:rPr>
          <w:b/>
          <w:bCs/>
          <w:color w:val="000000" w:themeColor="text1"/>
          <w:sz w:val="20"/>
          <w:szCs w:val="20"/>
        </w:rPr>
        <w:t>6.2 Portfolio alignment metrics</w:t>
      </w:r>
    </w:p>
    <w:p w14:paraId="06EEB50B" w14:textId="77777777" w:rsidR="00D012D9" w:rsidRDefault="00D012D9" w:rsidP="00D012D9">
      <w:pPr>
        <w:pStyle w:val="Default"/>
        <w:rPr>
          <w:b/>
          <w:bCs/>
          <w:sz w:val="20"/>
          <w:szCs w:val="20"/>
        </w:rPr>
      </w:pPr>
    </w:p>
    <w:p w14:paraId="10EE47DF" w14:textId="70E2A967" w:rsidR="00AB0A44" w:rsidRPr="00E95993" w:rsidRDefault="00AB0A44" w:rsidP="00AB0A44">
      <w:pPr>
        <w:pStyle w:val="Default"/>
        <w:rPr>
          <w:rFonts w:cs="Aptos (Body)"/>
          <w:color w:val="auto"/>
          <w:sz w:val="20"/>
          <w:szCs w:val="20"/>
        </w:rPr>
      </w:pPr>
      <w:r>
        <w:rPr>
          <w:rFonts w:cs="Aptos (Body)"/>
          <w:color w:val="auto"/>
          <w:sz w:val="20"/>
          <w:szCs w:val="20"/>
        </w:rPr>
        <w:t>L&amp;G</w:t>
      </w:r>
      <w:r w:rsidRPr="00E95993">
        <w:rPr>
          <w:rFonts w:cs="Aptos (Body)"/>
          <w:color w:val="auto"/>
          <w:sz w:val="20"/>
          <w:szCs w:val="20"/>
        </w:rPr>
        <w:t xml:space="preserve"> High Yield Bond Fund</w:t>
      </w:r>
      <w:r>
        <w:rPr>
          <w:rFonts w:cs="Aptos (Body)"/>
          <w:color w:val="auto"/>
          <w:sz w:val="20"/>
          <w:szCs w:val="20"/>
        </w:rPr>
        <w:t xml:space="preserve"> – 3.1</w:t>
      </w:r>
      <w:r w:rsidRPr="0029785E">
        <w:rPr>
          <w:sz w:val="20"/>
          <w:szCs w:val="20"/>
        </w:rPr>
        <w:t>°C</w:t>
      </w:r>
    </w:p>
    <w:p w14:paraId="2047E718" w14:textId="3D1624DA" w:rsidR="00AB0A44" w:rsidRPr="00E95993" w:rsidRDefault="00AB0A44" w:rsidP="00AB0A44">
      <w:pPr>
        <w:pStyle w:val="Default"/>
        <w:rPr>
          <w:rFonts w:cs="Aptos (Body)"/>
          <w:color w:val="auto"/>
          <w:sz w:val="20"/>
          <w:szCs w:val="20"/>
        </w:rPr>
      </w:pPr>
      <w:r>
        <w:rPr>
          <w:rFonts w:cs="Aptos (Body)"/>
          <w:color w:val="auto"/>
          <w:sz w:val="20"/>
          <w:szCs w:val="20"/>
        </w:rPr>
        <w:t>L&amp;G</w:t>
      </w:r>
      <w:r w:rsidRPr="00E95993">
        <w:rPr>
          <w:rFonts w:cs="Aptos (Body)"/>
          <w:color w:val="auto"/>
          <w:sz w:val="20"/>
          <w:szCs w:val="20"/>
        </w:rPr>
        <w:t xml:space="preserve"> Global Equity (50:50) Fund</w:t>
      </w:r>
      <w:r>
        <w:rPr>
          <w:rFonts w:cs="Aptos (Body)"/>
          <w:color w:val="auto"/>
          <w:sz w:val="20"/>
          <w:szCs w:val="20"/>
        </w:rPr>
        <w:t xml:space="preserve"> – 2.5</w:t>
      </w:r>
      <w:r w:rsidRPr="0029785E">
        <w:rPr>
          <w:sz w:val="20"/>
          <w:szCs w:val="20"/>
        </w:rPr>
        <w:t>°C</w:t>
      </w:r>
    </w:p>
    <w:p w14:paraId="01793639" w14:textId="789B653D" w:rsidR="00AB0A44" w:rsidRDefault="00AB0A44" w:rsidP="00AB0A44">
      <w:pPr>
        <w:pStyle w:val="Default"/>
        <w:rPr>
          <w:sz w:val="20"/>
          <w:szCs w:val="20"/>
        </w:rPr>
      </w:pPr>
      <w:r>
        <w:rPr>
          <w:rFonts w:cs="Aptos (Body)"/>
          <w:color w:val="auto"/>
          <w:sz w:val="20"/>
          <w:szCs w:val="20"/>
        </w:rPr>
        <w:t>M&amp;G Sustainable Total Return Credit Fund – 2.4</w:t>
      </w:r>
      <w:r w:rsidRPr="0029785E">
        <w:rPr>
          <w:sz w:val="20"/>
          <w:szCs w:val="20"/>
        </w:rPr>
        <w:t>°C</w:t>
      </w:r>
    </w:p>
    <w:p w14:paraId="01114E1F" w14:textId="6A2E5009" w:rsidR="00AB0A44" w:rsidRDefault="00AB0A44" w:rsidP="00AB0A44">
      <w:pPr>
        <w:pStyle w:val="Default"/>
        <w:rPr>
          <w:sz w:val="20"/>
          <w:szCs w:val="20"/>
        </w:rPr>
      </w:pPr>
      <w:r>
        <w:rPr>
          <w:rFonts w:cs="Aptos (Body)"/>
          <w:color w:val="auto"/>
          <w:sz w:val="20"/>
          <w:szCs w:val="20"/>
        </w:rPr>
        <w:t>L&amp;G All Stocks Index-Linked Gilts – 2.1</w:t>
      </w:r>
      <w:r w:rsidRPr="0029785E">
        <w:rPr>
          <w:sz w:val="20"/>
          <w:szCs w:val="20"/>
        </w:rPr>
        <w:t>°C</w:t>
      </w:r>
    </w:p>
    <w:p w14:paraId="1F142B51" w14:textId="3A56806E" w:rsidR="00AB0A44" w:rsidRPr="00AB0A44" w:rsidRDefault="00AB0A44" w:rsidP="00AB0A44">
      <w:pPr>
        <w:pStyle w:val="Default"/>
        <w:rPr>
          <w:sz w:val="20"/>
          <w:szCs w:val="20"/>
        </w:rPr>
      </w:pPr>
      <w:r w:rsidRPr="00834CE8">
        <w:rPr>
          <w:rFonts w:cs="Aptos (Body)"/>
          <w:color w:val="000000" w:themeColor="text1"/>
          <w:sz w:val="20"/>
          <w:szCs w:val="20"/>
        </w:rPr>
        <w:t>Royal London Multi-Asset Credit Fund – 2.0</w:t>
      </w:r>
      <w:r w:rsidRPr="00834CE8">
        <w:rPr>
          <w:color w:val="000000" w:themeColor="text1"/>
          <w:sz w:val="20"/>
          <w:szCs w:val="20"/>
        </w:rPr>
        <w:t>°C</w:t>
      </w:r>
    </w:p>
    <w:p w14:paraId="43A3628C" w14:textId="77777777" w:rsidR="00AB0A44" w:rsidRPr="00E95993" w:rsidRDefault="00AB0A44" w:rsidP="00AB0A44">
      <w:pPr>
        <w:pStyle w:val="Default"/>
        <w:rPr>
          <w:rFonts w:cs="Aptos (Body)"/>
          <w:color w:val="auto"/>
          <w:sz w:val="20"/>
          <w:szCs w:val="20"/>
        </w:rPr>
      </w:pPr>
    </w:p>
    <w:p w14:paraId="2363D0E5" w14:textId="698AA852" w:rsidR="00AB0A44" w:rsidRDefault="00AB0A44" w:rsidP="00D012D9">
      <w:pPr>
        <w:pStyle w:val="Default"/>
        <w:rPr>
          <w:b/>
          <w:bCs/>
          <w:sz w:val="20"/>
          <w:szCs w:val="20"/>
        </w:rPr>
      </w:pPr>
      <w:r w:rsidRPr="0024154B">
        <w:rPr>
          <w:i/>
          <w:iCs/>
          <w:color w:val="auto"/>
          <w:sz w:val="20"/>
          <w:szCs w:val="20"/>
        </w:rPr>
        <w:t>Source: Investment managers</w:t>
      </w:r>
      <w:r>
        <w:rPr>
          <w:i/>
          <w:iCs/>
          <w:color w:val="auto"/>
          <w:sz w:val="20"/>
          <w:szCs w:val="20"/>
        </w:rPr>
        <w:t xml:space="preserve">. </w:t>
      </w:r>
      <w:r w:rsidRPr="0024154B">
        <w:rPr>
          <w:i/>
          <w:iCs/>
          <w:color w:val="auto"/>
          <w:sz w:val="20"/>
          <w:szCs w:val="20"/>
        </w:rPr>
        <w:t xml:space="preserve">Data as </w:t>
      </w:r>
      <w:proofErr w:type="gramStart"/>
      <w:r w:rsidRPr="0024154B">
        <w:rPr>
          <w:i/>
          <w:iCs/>
          <w:color w:val="auto"/>
          <w:sz w:val="20"/>
          <w:szCs w:val="20"/>
        </w:rPr>
        <w:t>at</w:t>
      </w:r>
      <w:proofErr w:type="gramEnd"/>
      <w:r w:rsidRPr="0024154B">
        <w:rPr>
          <w:i/>
          <w:iCs/>
          <w:color w:val="auto"/>
          <w:sz w:val="20"/>
          <w:szCs w:val="20"/>
        </w:rPr>
        <w:t xml:space="preserve"> 31 October 202</w:t>
      </w:r>
      <w:r>
        <w:rPr>
          <w:i/>
          <w:iCs/>
          <w:color w:val="auto"/>
          <w:sz w:val="20"/>
          <w:szCs w:val="20"/>
        </w:rPr>
        <w:t>5</w:t>
      </w:r>
      <w:r w:rsidRPr="0024154B">
        <w:rPr>
          <w:i/>
          <w:iCs/>
          <w:color w:val="auto"/>
          <w:sz w:val="20"/>
          <w:szCs w:val="20"/>
        </w:rPr>
        <w:t xml:space="preserve"> (or closest date where data is available)</w:t>
      </w:r>
      <w:r>
        <w:rPr>
          <w:i/>
          <w:iCs/>
          <w:color w:val="auto"/>
          <w:sz w:val="20"/>
          <w:szCs w:val="20"/>
        </w:rPr>
        <w:t>.</w:t>
      </w:r>
    </w:p>
    <w:p w14:paraId="225937EC" w14:textId="77777777" w:rsidR="00AB0A44" w:rsidRPr="00F71F36" w:rsidRDefault="00AB0A44" w:rsidP="00D012D9">
      <w:pPr>
        <w:pStyle w:val="Default"/>
        <w:rPr>
          <w:b/>
          <w:bCs/>
          <w:sz w:val="20"/>
          <w:szCs w:val="20"/>
        </w:rPr>
      </w:pPr>
    </w:p>
    <w:p w14:paraId="731FDE26" w14:textId="77777777" w:rsidR="00E3205F" w:rsidRDefault="00E3205F" w:rsidP="0015614E">
      <w:pPr>
        <w:rPr>
          <w:rFonts w:cs="Calibri"/>
          <w:b/>
          <w:bCs/>
          <w:sz w:val="20"/>
          <w:szCs w:val="20"/>
        </w:rPr>
      </w:pPr>
    </w:p>
    <w:p w14:paraId="2A265E35" w14:textId="36EB120A" w:rsidR="0015614E" w:rsidRPr="00404F92" w:rsidRDefault="0015614E" w:rsidP="0015614E">
      <w:pPr>
        <w:rPr>
          <w:rFonts w:cs="Calibri"/>
          <w:b/>
          <w:bCs/>
          <w:sz w:val="20"/>
          <w:szCs w:val="20"/>
        </w:rPr>
      </w:pPr>
      <w:r w:rsidRPr="00882FFD">
        <w:rPr>
          <w:rFonts w:cs="Calibri"/>
          <w:b/>
          <w:bCs/>
          <w:sz w:val="20"/>
          <w:szCs w:val="20"/>
        </w:rPr>
        <w:lastRenderedPageBreak/>
        <w:t xml:space="preserve">7. Conclusion </w:t>
      </w:r>
    </w:p>
    <w:p w14:paraId="1CF8D7B2" w14:textId="77777777" w:rsidR="0015614E" w:rsidRPr="00404F92" w:rsidRDefault="0015614E" w:rsidP="0015614E">
      <w:pPr>
        <w:rPr>
          <w:sz w:val="20"/>
          <w:szCs w:val="20"/>
        </w:rPr>
      </w:pPr>
      <w:r w:rsidRPr="00404F92">
        <w:rPr>
          <w:sz w:val="20"/>
          <w:szCs w:val="20"/>
        </w:rPr>
        <w:t>The Trustee is pleased to have been able to report the decisive actions taken during this period on the matters of climate change and stewardship</w:t>
      </w:r>
      <w:r>
        <w:rPr>
          <w:sz w:val="20"/>
          <w:szCs w:val="20"/>
        </w:rPr>
        <w:t xml:space="preserve">, but expresses concern about the rolling back of commitments and policies on the part of several equities managers across the three schemes governed by this Trustee board including, in the BSRS, Newton Asset Management. The trustee applauds L&amp;G in resisting this trend. </w:t>
      </w:r>
    </w:p>
    <w:p w14:paraId="1177833C" w14:textId="77777777" w:rsidR="0015614E" w:rsidRPr="00404F92" w:rsidRDefault="0015614E" w:rsidP="0015614E">
      <w:pPr>
        <w:rPr>
          <w:sz w:val="20"/>
          <w:szCs w:val="20"/>
        </w:rPr>
      </w:pPr>
    </w:p>
    <w:p w14:paraId="30F257C9" w14:textId="77777777" w:rsidR="0015614E" w:rsidRPr="00404F92" w:rsidRDefault="0015614E" w:rsidP="0015614E">
      <w:pPr>
        <w:rPr>
          <w:sz w:val="20"/>
          <w:szCs w:val="20"/>
        </w:rPr>
      </w:pPr>
      <w:r>
        <w:rPr>
          <w:sz w:val="20"/>
          <w:szCs w:val="20"/>
        </w:rPr>
        <w:t>Following</w:t>
      </w:r>
      <w:r w:rsidRPr="00404F92">
        <w:rPr>
          <w:sz w:val="20"/>
          <w:szCs w:val="20"/>
        </w:rPr>
        <w:t xml:space="preserve"> preparatory training</w:t>
      </w:r>
      <w:r>
        <w:rPr>
          <w:sz w:val="20"/>
          <w:szCs w:val="20"/>
        </w:rPr>
        <w:t xml:space="preserve">, adopting a commitment to net zero by 2050 or sooner </w:t>
      </w:r>
      <w:r w:rsidRPr="00404F92">
        <w:rPr>
          <w:sz w:val="20"/>
          <w:szCs w:val="20"/>
        </w:rPr>
        <w:t xml:space="preserve">and having regard to the advice of the scheme's investment adviser, </w:t>
      </w:r>
      <w:r>
        <w:rPr>
          <w:sz w:val="20"/>
          <w:szCs w:val="20"/>
        </w:rPr>
        <w:t xml:space="preserve">the Trustee began divesting from some funds and investing in new </w:t>
      </w:r>
      <w:r w:rsidRPr="00404F92">
        <w:rPr>
          <w:sz w:val="20"/>
          <w:szCs w:val="20"/>
        </w:rPr>
        <w:t xml:space="preserve">funds across all three pension schemes governed by the Trustee board, with assistance and recommendations from the investment advisor. </w:t>
      </w:r>
    </w:p>
    <w:p w14:paraId="5C1E7C54" w14:textId="77777777" w:rsidR="0015614E" w:rsidRPr="00404F92" w:rsidRDefault="0015614E" w:rsidP="0015614E">
      <w:pPr>
        <w:rPr>
          <w:sz w:val="20"/>
          <w:szCs w:val="20"/>
        </w:rPr>
      </w:pPr>
    </w:p>
    <w:p w14:paraId="18949934" w14:textId="77777777" w:rsidR="0015614E" w:rsidRPr="00404F92" w:rsidRDefault="0015614E" w:rsidP="0015614E">
      <w:pPr>
        <w:rPr>
          <w:sz w:val="20"/>
          <w:szCs w:val="20"/>
        </w:rPr>
      </w:pPr>
      <w:r w:rsidRPr="00404F92">
        <w:rPr>
          <w:sz w:val="20"/>
          <w:szCs w:val="20"/>
        </w:rPr>
        <w:t>In doing so the Trustee was also able to resolve two long</w:t>
      </w:r>
      <w:r>
        <w:rPr>
          <w:sz w:val="20"/>
          <w:szCs w:val="20"/>
        </w:rPr>
        <w:t>stand</w:t>
      </w:r>
      <w:r w:rsidRPr="00404F92">
        <w:rPr>
          <w:sz w:val="20"/>
          <w:szCs w:val="20"/>
        </w:rPr>
        <w:t xml:space="preserve">ing problematic areas </w:t>
      </w:r>
      <w:proofErr w:type="gramStart"/>
      <w:r w:rsidRPr="00404F92">
        <w:rPr>
          <w:sz w:val="20"/>
          <w:szCs w:val="20"/>
        </w:rPr>
        <w:t>with regard to</w:t>
      </w:r>
      <w:proofErr w:type="gramEnd"/>
      <w:r w:rsidRPr="00404F92">
        <w:rPr>
          <w:sz w:val="20"/>
          <w:szCs w:val="20"/>
        </w:rPr>
        <w:t xml:space="preserve"> global warming and stewardship. </w:t>
      </w:r>
    </w:p>
    <w:p w14:paraId="17C62EF1" w14:textId="77777777" w:rsidR="0015614E" w:rsidRPr="00404F92" w:rsidRDefault="0015614E" w:rsidP="0015614E">
      <w:pPr>
        <w:rPr>
          <w:sz w:val="20"/>
          <w:szCs w:val="20"/>
        </w:rPr>
      </w:pPr>
    </w:p>
    <w:p w14:paraId="29039F3B" w14:textId="18D46B5B" w:rsidR="0015614E" w:rsidRPr="00404F92" w:rsidRDefault="0015614E" w:rsidP="0015614E">
      <w:pPr>
        <w:rPr>
          <w:sz w:val="20"/>
          <w:szCs w:val="20"/>
        </w:rPr>
      </w:pPr>
      <w:r w:rsidRPr="00404F92">
        <w:rPr>
          <w:sz w:val="20"/>
          <w:szCs w:val="20"/>
        </w:rPr>
        <w:t xml:space="preserve">The first was the inclusion of Petroleos Mexicanos as the largest issuer in the </w:t>
      </w:r>
      <w:r w:rsidR="0073093D">
        <w:rPr>
          <w:sz w:val="20"/>
          <w:szCs w:val="20"/>
        </w:rPr>
        <w:t>L&amp;G</w:t>
      </w:r>
      <w:r w:rsidRPr="00404F92">
        <w:rPr>
          <w:sz w:val="20"/>
          <w:szCs w:val="20"/>
        </w:rPr>
        <w:t xml:space="preserve"> High Yield Bond Fund. The Trustee had raised this issue with </w:t>
      </w:r>
      <w:r w:rsidR="0073093D">
        <w:rPr>
          <w:sz w:val="20"/>
          <w:szCs w:val="20"/>
        </w:rPr>
        <w:t>L&amp;G</w:t>
      </w:r>
      <w:r w:rsidRPr="00404F92">
        <w:rPr>
          <w:sz w:val="20"/>
          <w:szCs w:val="20"/>
        </w:rPr>
        <w:t xml:space="preserve"> repeatedly over </w:t>
      </w:r>
      <w:r>
        <w:rPr>
          <w:sz w:val="20"/>
          <w:szCs w:val="20"/>
        </w:rPr>
        <w:t>several</w:t>
      </w:r>
      <w:r w:rsidRPr="00404F92">
        <w:rPr>
          <w:sz w:val="20"/>
          <w:szCs w:val="20"/>
        </w:rPr>
        <w:t xml:space="preserve"> reporting periods with no action from the fund manager. The issue was not about </w:t>
      </w:r>
      <w:r w:rsidR="0073093D">
        <w:rPr>
          <w:sz w:val="20"/>
          <w:szCs w:val="20"/>
        </w:rPr>
        <w:t>L&amp;G</w:t>
      </w:r>
      <w:r w:rsidRPr="00404F92">
        <w:rPr>
          <w:sz w:val="20"/>
          <w:szCs w:val="20"/>
        </w:rPr>
        <w:t xml:space="preserve"> including oil companies in their fund, but the inclusion of this particular company </w:t>
      </w:r>
      <w:r>
        <w:rPr>
          <w:sz w:val="20"/>
          <w:szCs w:val="20"/>
        </w:rPr>
        <w:t>in the light of</w:t>
      </w:r>
      <w:r w:rsidRPr="00404F92">
        <w:rPr>
          <w:sz w:val="20"/>
          <w:szCs w:val="20"/>
        </w:rPr>
        <w:t xml:space="preserve"> its business plans and its ESG risk rating by Sustainalytics as "52.6: severe risk", placing it at number 217 out of 294 oil and gas producers, and 14,930 out of their 'global universe' of 15,131. The fund had </w:t>
      </w:r>
      <w:r>
        <w:rPr>
          <w:sz w:val="20"/>
          <w:szCs w:val="20"/>
        </w:rPr>
        <w:t xml:space="preserve">had </w:t>
      </w:r>
      <w:r w:rsidRPr="00404F92">
        <w:rPr>
          <w:sz w:val="20"/>
          <w:szCs w:val="20"/>
        </w:rPr>
        <w:t>an implied temperature alignment of 3.3c.</w:t>
      </w:r>
    </w:p>
    <w:p w14:paraId="0B005F72" w14:textId="77777777" w:rsidR="0015614E" w:rsidRPr="00404F92" w:rsidRDefault="0015614E" w:rsidP="0015614E">
      <w:pPr>
        <w:rPr>
          <w:sz w:val="20"/>
          <w:szCs w:val="20"/>
        </w:rPr>
      </w:pPr>
    </w:p>
    <w:p w14:paraId="285A570E" w14:textId="28273CCE" w:rsidR="0015614E" w:rsidRPr="00E3205F" w:rsidRDefault="0015614E" w:rsidP="0015614E">
      <w:pPr>
        <w:rPr>
          <w:rFonts w:cs="Calibri"/>
          <w:bCs/>
          <w:color w:val="000000" w:themeColor="text1"/>
          <w:sz w:val="22"/>
          <w:szCs w:val="22"/>
        </w:rPr>
      </w:pPr>
      <w:r w:rsidRPr="00404F92">
        <w:rPr>
          <w:sz w:val="20"/>
          <w:szCs w:val="20"/>
        </w:rPr>
        <w:t xml:space="preserve">The disinvestment from this fund and move to the M&amp;G Sustainable Total Credit Fund will therefore help the </w:t>
      </w:r>
      <w:r w:rsidRPr="00E3205F">
        <w:rPr>
          <w:sz w:val="20"/>
          <w:szCs w:val="20"/>
        </w:rPr>
        <w:t xml:space="preserve">BSRS to progress towards its net zero target. The Trustee was very pleased to hear from L&amp;G that they had finally dropped Pemex from the fund because the fund now adheres to the </w:t>
      </w:r>
      <w:r w:rsidRPr="00834CE8">
        <w:rPr>
          <w:rFonts w:cs="Calibri"/>
          <w:bCs/>
          <w:color w:val="000000" w:themeColor="text1"/>
          <w:sz w:val="20"/>
          <w:szCs w:val="20"/>
        </w:rPr>
        <w:t xml:space="preserve">L&amp;G Future World </w:t>
      </w:r>
      <w:proofErr w:type="gramStart"/>
      <w:r w:rsidRPr="00834CE8">
        <w:rPr>
          <w:rFonts w:cs="Calibri"/>
          <w:bCs/>
          <w:color w:val="000000" w:themeColor="text1"/>
          <w:sz w:val="20"/>
          <w:szCs w:val="20"/>
        </w:rPr>
        <w:t>Protection  List</w:t>
      </w:r>
      <w:proofErr w:type="gramEnd"/>
      <w:r w:rsidRPr="00834CE8">
        <w:rPr>
          <w:rFonts w:cs="Calibri"/>
          <w:bCs/>
          <w:color w:val="000000" w:themeColor="text1"/>
          <w:sz w:val="20"/>
          <w:szCs w:val="20"/>
        </w:rPr>
        <w:t xml:space="preserve"> which incorporates UNGC Violators, </w:t>
      </w:r>
      <w:r w:rsidR="00E3205F">
        <w:rPr>
          <w:rFonts w:cs="Calibri"/>
          <w:bCs/>
          <w:color w:val="000000" w:themeColor="text1"/>
          <w:sz w:val="20"/>
          <w:szCs w:val="20"/>
        </w:rPr>
        <w:t>in</w:t>
      </w:r>
      <w:r w:rsidR="00E3205F" w:rsidRPr="00834CE8">
        <w:rPr>
          <w:rFonts w:cs="Calibri"/>
          <w:bCs/>
          <w:color w:val="000000" w:themeColor="text1"/>
          <w:sz w:val="20"/>
          <w:szCs w:val="20"/>
        </w:rPr>
        <w:t xml:space="preserve"> </w:t>
      </w:r>
      <w:r w:rsidRPr="00834CE8">
        <w:rPr>
          <w:rFonts w:cs="Calibri"/>
          <w:bCs/>
          <w:color w:val="000000" w:themeColor="text1"/>
          <w:sz w:val="20"/>
          <w:szCs w:val="20"/>
        </w:rPr>
        <w:t>which Pemex is listed.</w:t>
      </w:r>
    </w:p>
    <w:p w14:paraId="2CCA883B" w14:textId="77777777" w:rsidR="0015614E" w:rsidRPr="00404F92" w:rsidRDefault="0015614E" w:rsidP="0015614E">
      <w:pPr>
        <w:rPr>
          <w:sz w:val="20"/>
          <w:szCs w:val="20"/>
        </w:rPr>
      </w:pPr>
    </w:p>
    <w:p w14:paraId="70D91898" w14:textId="77777777" w:rsidR="0015614E" w:rsidRDefault="0015614E" w:rsidP="0015614E">
      <w:pPr>
        <w:rPr>
          <w:sz w:val="20"/>
          <w:szCs w:val="20"/>
        </w:rPr>
      </w:pPr>
      <w:r w:rsidRPr="00404F92">
        <w:rPr>
          <w:sz w:val="20"/>
          <w:szCs w:val="20"/>
        </w:rPr>
        <w:t xml:space="preserve">The second long-running problem had been the </w:t>
      </w:r>
      <w:r>
        <w:rPr>
          <w:sz w:val="20"/>
          <w:szCs w:val="20"/>
        </w:rPr>
        <w:t xml:space="preserve">continued </w:t>
      </w:r>
      <w:r w:rsidRPr="00404F92">
        <w:rPr>
          <w:sz w:val="20"/>
          <w:szCs w:val="20"/>
        </w:rPr>
        <w:t xml:space="preserve">refusal of Newton Asset Management to </w:t>
      </w:r>
      <w:proofErr w:type="gramStart"/>
      <w:r w:rsidRPr="00404F92">
        <w:rPr>
          <w:sz w:val="20"/>
          <w:szCs w:val="20"/>
        </w:rPr>
        <w:t>enter into</w:t>
      </w:r>
      <w:proofErr w:type="gramEnd"/>
      <w:r w:rsidRPr="00404F92">
        <w:rPr>
          <w:sz w:val="20"/>
          <w:szCs w:val="20"/>
        </w:rPr>
        <w:t xml:space="preserve"> discussion about the Trustee's concerns on voting issues</w:t>
      </w:r>
      <w:r>
        <w:rPr>
          <w:sz w:val="20"/>
          <w:szCs w:val="20"/>
        </w:rPr>
        <w:t xml:space="preserve">, a refusal that they continued in this reporting year.  </w:t>
      </w:r>
    </w:p>
    <w:p w14:paraId="53918544" w14:textId="77777777" w:rsidR="0015614E" w:rsidRDefault="0015614E" w:rsidP="0015614E">
      <w:pPr>
        <w:rPr>
          <w:sz w:val="20"/>
          <w:szCs w:val="20"/>
        </w:rPr>
      </w:pPr>
    </w:p>
    <w:p w14:paraId="10B259E6" w14:textId="77777777" w:rsidR="0015614E" w:rsidRDefault="0015614E" w:rsidP="0015614E">
      <w:pPr>
        <w:rPr>
          <w:sz w:val="20"/>
          <w:szCs w:val="20"/>
        </w:rPr>
      </w:pPr>
      <w:r>
        <w:rPr>
          <w:sz w:val="20"/>
          <w:szCs w:val="20"/>
        </w:rPr>
        <w:t xml:space="preserve">The Trustee was very concerned at the weakening of Newton's voting policy in several areas, including climate change and trade union recognition/human capital management, and the exclusion of the 2024 governance principles on diversity from their 2025 policy.  The Trustee could find no mention in Newton's 2025 voting season report of trade unions, labour, equality, women, race or ethnic minorities, or pensions. </w:t>
      </w:r>
    </w:p>
    <w:p w14:paraId="252F7804" w14:textId="77777777" w:rsidR="0015614E" w:rsidRDefault="0015614E" w:rsidP="0015614E">
      <w:pPr>
        <w:rPr>
          <w:sz w:val="20"/>
          <w:szCs w:val="20"/>
        </w:rPr>
      </w:pPr>
    </w:p>
    <w:p w14:paraId="291BF26B" w14:textId="77777777" w:rsidR="0015614E" w:rsidRPr="00404F92" w:rsidRDefault="0015614E" w:rsidP="0015614E">
      <w:pPr>
        <w:rPr>
          <w:sz w:val="20"/>
          <w:szCs w:val="20"/>
        </w:rPr>
      </w:pPr>
      <w:r w:rsidRPr="00404F92">
        <w:rPr>
          <w:sz w:val="20"/>
          <w:szCs w:val="20"/>
        </w:rPr>
        <w:t xml:space="preserve">The Trustee hopes that disinvestment from this fund and move to the M&amp;G Sustainable Total Credit Fund will result in a better discussion and more influence in future over the stewardship of these assets. </w:t>
      </w:r>
    </w:p>
    <w:p w14:paraId="302FB8DB" w14:textId="77777777" w:rsidR="0015614E" w:rsidRPr="00404F92" w:rsidRDefault="0015614E" w:rsidP="0015614E">
      <w:pPr>
        <w:rPr>
          <w:rFonts w:cs="Calibri"/>
          <w:color w:val="FF0000"/>
          <w:sz w:val="20"/>
          <w:szCs w:val="20"/>
        </w:rPr>
      </w:pPr>
    </w:p>
    <w:p w14:paraId="31D37610" w14:textId="246CB4CF" w:rsidR="0015614E" w:rsidRPr="00404F92" w:rsidRDefault="0015614E" w:rsidP="0015614E">
      <w:pPr>
        <w:rPr>
          <w:rFonts w:cs="Calibri"/>
          <w:color w:val="000000" w:themeColor="text1"/>
          <w:sz w:val="20"/>
          <w:szCs w:val="20"/>
        </w:rPr>
      </w:pPr>
      <w:r w:rsidRPr="00404F92">
        <w:rPr>
          <w:rFonts w:cs="Calibri"/>
          <w:color w:val="000000" w:themeColor="text1"/>
          <w:sz w:val="20"/>
          <w:szCs w:val="20"/>
        </w:rPr>
        <w:t xml:space="preserve">This year's SIP implementation statement indicates again why it is so important that fund managers honour their clients' voting policies, or if they will not do so, that pension funds use their own voting policies to try to hold them to account. This report again shows that because the fund managers are not following the </w:t>
      </w:r>
      <w:r>
        <w:rPr>
          <w:rFonts w:cs="Calibri"/>
          <w:color w:val="000000" w:themeColor="text1"/>
          <w:sz w:val="20"/>
          <w:szCs w:val="20"/>
        </w:rPr>
        <w:t>T</w:t>
      </w:r>
      <w:r w:rsidRPr="00404F92">
        <w:rPr>
          <w:rFonts w:cs="Calibri"/>
          <w:color w:val="000000" w:themeColor="text1"/>
          <w:sz w:val="20"/>
          <w:szCs w:val="20"/>
        </w:rPr>
        <w:t xml:space="preserve">rustee's voting policy they had been voting in contradictory ways, with one voting for a resolution and another voting against, for example </w:t>
      </w:r>
      <w:r w:rsidR="0073093D">
        <w:rPr>
          <w:rFonts w:cs="Calibri"/>
          <w:color w:val="000000" w:themeColor="text1"/>
          <w:sz w:val="20"/>
          <w:szCs w:val="20"/>
        </w:rPr>
        <w:t>L&amp;G</w:t>
      </w:r>
      <w:r w:rsidRPr="00404F92">
        <w:rPr>
          <w:rFonts w:cs="Calibri"/>
          <w:color w:val="000000" w:themeColor="text1"/>
          <w:sz w:val="20"/>
          <w:szCs w:val="20"/>
        </w:rPr>
        <w:t xml:space="preserve"> </w:t>
      </w:r>
      <w:r>
        <w:rPr>
          <w:rFonts w:cs="Calibri"/>
          <w:color w:val="000000" w:themeColor="text1"/>
          <w:sz w:val="20"/>
          <w:szCs w:val="20"/>
        </w:rPr>
        <w:t xml:space="preserve">voting against the election of </w:t>
      </w:r>
      <w:r w:rsidR="00AD6811">
        <w:rPr>
          <w:rFonts w:cs="Calibri"/>
          <w:color w:val="000000" w:themeColor="text1"/>
          <w:sz w:val="20"/>
          <w:szCs w:val="20"/>
        </w:rPr>
        <w:t>six</w:t>
      </w:r>
      <w:r>
        <w:rPr>
          <w:rFonts w:cs="Calibri"/>
          <w:color w:val="000000" w:themeColor="text1"/>
          <w:sz w:val="20"/>
          <w:szCs w:val="20"/>
        </w:rPr>
        <w:t xml:space="preserve"> of the 10 directors at Alphabet while Newton supported them all. </w:t>
      </w:r>
      <w:r w:rsidRPr="00404F92">
        <w:rPr>
          <w:rFonts w:cs="Calibri"/>
          <w:color w:val="000000" w:themeColor="text1"/>
          <w:sz w:val="20"/>
          <w:szCs w:val="20"/>
        </w:rPr>
        <w:t xml:space="preserve"> </w:t>
      </w:r>
    </w:p>
    <w:p w14:paraId="186508C0" w14:textId="77777777" w:rsidR="0015614E" w:rsidRPr="00404F92" w:rsidRDefault="0015614E" w:rsidP="0015614E">
      <w:pPr>
        <w:rPr>
          <w:rFonts w:cs="Calibri"/>
          <w:color w:val="FF0000"/>
          <w:sz w:val="20"/>
          <w:szCs w:val="20"/>
        </w:rPr>
      </w:pPr>
    </w:p>
    <w:p w14:paraId="770D656B" w14:textId="77777777" w:rsidR="0015614E" w:rsidRDefault="0015614E" w:rsidP="0015614E">
      <w:pPr>
        <w:rPr>
          <w:rFonts w:cs="Calibri"/>
          <w:sz w:val="20"/>
          <w:szCs w:val="20"/>
        </w:rPr>
      </w:pPr>
      <w:r>
        <w:rPr>
          <w:rFonts w:cs="Calibri"/>
          <w:color w:val="000000" w:themeColor="text1"/>
          <w:sz w:val="20"/>
          <w:szCs w:val="20"/>
        </w:rPr>
        <w:t>T</w:t>
      </w:r>
      <w:r w:rsidRPr="00404F92">
        <w:rPr>
          <w:rFonts w:cs="Calibri"/>
          <w:color w:val="000000" w:themeColor="text1"/>
          <w:sz w:val="20"/>
          <w:szCs w:val="20"/>
        </w:rPr>
        <w:t xml:space="preserve">he Trustee's consistent engagement with </w:t>
      </w:r>
      <w:r>
        <w:rPr>
          <w:rFonts w:cs="Calibri"/>
          <w:color w:val="000000" w:themeColor="text1"/>
          <w:sz w:val="20"/>
          <w:szCs w:val="20"/>
        </w:rPr>
        <w:t>fund managers</w:t>
      </w:r>
      <w:r w:rsidRPr="00404F92">
        <w:rPr>
          <w:rFonts w:cs="Calibri"/>
          <w:color w:val="000000" w:themeColor="text1"/>
          <w:sz w:val="20"/>
          <w:szCs w:val="20"/>
        </w:rPr>
        <w:t xml:space="preserve"> over our priority issues</w:t>
      </w:r>
      <w:r>
        <w:rPr>
          <w:rFonts w:cs="Calibri"/>
          <w:color w:val="000000" w:themeColor="text1"/>
          <w:sz w:val="20"/>
          <w:szCs w:val="20"/>
        </w:rPr>
        <w:t xml:space="preserve"> over several years has led to</w:t>
      </w:r>
      <w:r w:rsidRPr="00404F92">
        <w:rPr>
          <w:rFonts w:cs="Calibri"/>
          <w:color w:val="000000" w:themeColor="text1"/>
          <w:sz w:val="20"/>
          <w:szCs w:val="20"/>
        </w:rPr>
        <w:t xml:space="preserve"> welcome progress</w:t>
      </w:r>
      <w:r>
        <w:rPr>
          <w:rFonts w:cs="Calibri"/>
          <w:color w:val="000000" w:themeColor="text1"/>
          <w:sz w:val="20"/>
          <w:szCs w:val="20"/>
        </w:rPr>
        <w:t xml:space="preserve"> on the fund managers aligning more closely with the Trustee's policy, </w:t>
      </w:r>
      <w:r w:rsidRPr="00404F92">
        <w:rPr>
          <w:rFonts w:cs="Calibri"/>
          <w:color w:val="000000" w:themeColor="text1"/>
          <w:sz w:val="20"/>
          <w:szCs w:val="20"/>
        </w:rPr>
        <w:t xml:space="preserve"> </w:t>
      </w:r>
      <w:r>
        <w:rPr>
          <w:rFonts w:cs="Calibri"/>
          <w:color w:val="000000" w:themeColor="text1"/>
          <w:sz w:val="20"/>
          <w:szCs w:val="20"/>
        </w:rPr>
        <w:t xml:space="preserve">particularly on diversity, </w:t>
      </w:r>
      <w:r>
        <w:rPr>
          <w:rFonts w:cs="Calibri"/>
          <w:sz w:val="20"/>
          <w:szCs w:val="20"/>
        </w:rPr>
        <w:t xml:space="preserve">The Trustee reported previously that it had adopted its stewardship engagement priorities across the three pension schemes that it governs all of which have a common scheme sponsor, and following its engagement with four equity fund managers on the issue of ethnic minorities on boards all had included ethnic minorities on boards as a voting policy with some voting against the chair of the nomination committee at companies failing on this policy issue. This meant that shareholder votes of more than </w:t>
      </w:r>
      <w:proofErr w:type="gramStart"/>
      <w:r>
        <w:rPr>
          <w:rFonts w:cs="Calibri"/>
          <w:sz w:val="20"/>
          <w:szCs w:val="20"/>
        </w:rPr>
        <w:t>£2.5-trillion</w:t>
      </w:r>
      <w:proofErr w:type="gramEnd"/>
      <w:r>
        <w:rPr>
          <w:rFonts w:cs="Calibri"/>
          <w:sz w:val="20"/>
          <w:szCs w:val="20"/>
        </w:rPr>
        <w:t xml:space="preserve"> could now be used to vote against companies that are failing to meet their Parker Review targets. </w:t>
      </w:r>
    </w:p>
    <w:p w14:paraId="57F8B880" w14:textId="77777777" w:rsidR="0015614E" w:rsidRDefault="0015614E" w:rsidP="0015614E">
      <w:pPr>
        <w:rPr>
          <w:rFonts w:cs="Calibri"/>
          <w:sz w:val="20"/>
          <w:szCs w:val="20"/>
        </w:rPr>
      </w:pPr>
    </w:p>
    <w:p w14:paraId="7BCADF49" w14:textId="066A36E7" w:rsidR="0015614E" w:rsidRDefault="0015614E" w:rsidP="0015614E">
      <w:pPr>
        <w:rPr>
          <w:rFonts w:cs="Calibri"/>
          <w:sz w:val="20"/>
          <w:szCs w:val="20"/>
        </w:rPr>
      </w:pPr>
      <w:r>
        <w:rPr>
          <w:rFonts w:cs="Calibri"/>
          <w:sz w:val="20"/>
          <w:szCs w:val="20"/>
        </w:rPr>
        <w:t xml:space="preserve">The rolling back of fund managers' commitments particularly on environmental and social issues, </w:t>
      </w:r>
      <w:r w:rsidR="00E90938">
        <w:rPr>
          <w:rFonts w:cs="Calibri"/>
          <w:sz w:val="20"/>
          <w:szCs w:val="20"/>
        </w:rPr>
        <w:t>no doubt</w:t>
      </w:r>
      <w:r>
        <w:rPr>
          <w:rFonts w:cs="Calibri"/>
          <w:sz w:val="20"/>
          <w:szCs w:val="20"/>
        </w:rPr>
        <w:t xml:space="preserve"> as a reaction to political developments in the United </w:t>
      </w:r>
      <w:proofErr w:type="gramStart"/>
      <w:r>
        <w:rPr>
          <w:rFonts w:cs="Calibri"/>
          <w:sz w:val="20"/>
          <w:szCs w:val="20"/>
        </w:rPr>
        <w:t>States,  demonstrates</w:t>
      </w:r>
      <w:proofErr w:type="gramEnd"/>
      <w:r>
        <w:rPr>
          <w:rFonts w:cs="Calibri"/>
          <w:sz w:val="20"/>
          <w:szCs w:val="20"/>
        </w:rPr>
        <w:t xml:space="preserve"> why pension trustees should have greater power to have their policies followed by their asset managers including in pooled funds. </w:t>
      </w:r>
    </w:p>
    <w:p w14:paraId="30E4FD17" w14:textId="77777777" w:rsidR="0015614E" w:rsidRDefault="0015614E" w:rsidP="0015614E">
      <w:pPr>
        <w:rPr>
          <w:rFonts w:cs="Calibri"/>
          <w:color w:val="000000" w:themeColor="text1"/>
          <w:sz w:val="20"/>
          <w:szCs w:val="20"/>
        </w:rPr>
      </w:pPr>
    </w:p>
    <w:p w14:paraId="5BCE21B6" w14:textId="77777777" w:rsidR="0015614E" w:rsidRPr="000228A7" w:rsidRDefault="0015614E" w:rsidP="0015614E">
      <w:pPr>
        <w:rPr>
          <w:rFonts w:cs="Calibri"/>
          <w:sz w:val="20"/>
          <w:szCs w:val="20"/>
        </w:rPr>
      </w:pPr>
      <w:r>
        <w:rPr>
          <w:rFonts w:cs="Calibri"/>
          <w:color w:val="000000" w:themeColor="text1"/>
          <w:sz w:val="20"/>
          <w:szCs w:val="20"/>
        </w:rPr>
        <w:lastRenderedPageBreak/>
        <w:t xml:space="preserve">However, the </w:t>
      </w:r>
      <w:r w:rsidRPr="00404F92">
        <w:rPr>
          <w:rFonts w:cs="Calibri"/>
          <w:color w:val="000000" w:themeColor="text1"/>
          <w:sz w:val="20"/>
          <w:szCs w:val="20"/>
        </w:rPr>
        <w:t xml:space="preserve">engagement with the Trustee's asset managers responsible for fixed income and property has </w:t>
      </w:r>
      <w:r>
        <w:rPr>
          <w:rFonts w:cs="Calibri"/>
          <w:color w:val="000000" w:themeColor="text1"/>
          <w:sz w:val="20"/>
          <w:szCs w:val="20"/>
        </w:rPr>
        <w:t>again</w:t>
      </w:r>
      <w:r w:rsidRPr="00404F92">
        <w:rPr>
          <w:rFonts w:cs="Calibri"/>
          <w:color w:val="000000" w:themeColor="text1"/>
          <w:sz w:val="20"/>
          <w:szCs w:val="20"/>
        </w:rPr>
        <w:t xml:space="preserve"> produced useful information and served to hold them to account</w:t>
      </w:r>
      <w:r>
        <w:rPr>
          <w:rFonts w:cs="Calibri"/>
          <w:color w:val="000000" w:themeColor="text1"/>
          <w:sz w:val="20"/>
          <w:szCs w:val="20"/>
        </w:rPr>
        <w:t>.</w:t>
      </w:r>
    </w:p>
    <w:p w14:paraId="0DF03277" w14:textId="77777777" w:rsidR="0015614E" w:rsidRDefault="0015614E" w:rsidP="0015614E">
      <w:pPr>
        <w:rPr>
          <w:rFonts w:cs="Calibri"/>
          <w:color w:val="000000" w:themeColor="text1"/>
          <w:sz w:val="20"/>
          <w:szCs w:val="20"/>
        </w:rPr>
      </w:pPr>
    </w:p>
    <w:p w14:paraId="362AA935" w14:textId="77777777" w:rsidR="00A9657E" w:rsidRDefault="00A9657E" w:rsidP="00A9657E">
      <w:pPr>
        <w:rPr>
          <w:rFonts w:cs="Calibri"/>
          <w:color w:val="000000" w:themeColor="text1"/>
          <w:sz w:val="20"/>
          <w:szCs w:val="20"/>
        </w:rPr>
      </w:pPr>
      <w:r w:rsidRPr="00404F92">
        <w:rPr>
          <w:rFonts w:cs="Calibri"/>
          <w:color w:val="000000" w:themeColor="text1"/>
          <w:sz w:val="20"/>
          <w:szCs w:val="20"/>
        </w:rPr>
        <w:t xml:space="preserve">The Trustee </w:t>
      </w:r>
      <w:r>
        <w:rPr>
          <w:rFonts w:cs="Calibri"/>
          <w:color w:val="000000" w:themeColor="text1"/>
          <w:sz w:val="20"/>
          <w:szCs w:val="20"/>
        </w:rPr>
        <w:t>concludes</w:t>
      </w:r>
      <w:r w:rsidRPr="00404F92">
        <w:rPr>
          <w:rFonts w:cs="Calibri"/>
          <w:color w:val="000000" w:themeColor="text1"/>
          <w:sz w:val="20"/>
          <w:szCs w:val="20"/>
        </w:rPr>
        <w:t xml:space="preserve"> that this active engagement with</w:t>
      </w:r>
      <w:r>
        <w:rPr>
          <w:rFonts w:cs="Calibri"/>
          <w:color w:val="000000" w:themeColor="text1"/>
          <w:sz w:val="20"/>
          <w:szCs w:val="20"/>
        </w:rPr>
        <w:t>, and holding to account of,</w:t>
      </w:r>
      <w:r w:rsidRPr="00404F92">
        <w:rPr>
          <w:rFonts w:cs="Calibri"/>
          <w:color w:val="000000" w:themeColor="text1"/>
          <w:sz w:val="20"/>
          <w:szCs w:val="20"/>
        </w:rPr>
        <w:t xml:space="preserve"> our fund managers has continued to prove to be of value</w:t>
      </w:r>
      <w:r>
        <w:rPr>
          <w:rFonts w:cs="Calibri"/>
          <w:color w:val="000000" w:themeColor="text1"/>
          <w:sz w:val="20"/>
          <w:szCs w:val="20"/>
        </w:rPr>
        <w:t xml:space="preserve"> even in these challenging times. </w:t>
      </w:r>
    </w:p>
    <w:p w14:paraId="39E8DCC3" w14:textId="77777777" w:rsidR="00D012D9" w:rsidRDefault="00D012D9" w:rsidP="002930E3"/>
    <w:sectPr w:rsidR="00D012D9" w:rsidSect="00A83D2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2B7F" w14:textId="77777777" w:rsidR="00585F8E" w:rsidRDefault="00585F8E" w:rsidP="002930E3">
      <w:r>
        <w:separator/>
      </w:r>
    </w:p>
  </w:endnote>
  <w:endnote w:type="continuationSeparator" w:id="0">
    <w:p w14:paraId="1C393443" w14:textId="77777777" w:rsidR="00585F8E" w:rsidRDefault="00585F8E" w:rsidP="0029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ody)">
    <w:altName w:val="Apto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6AF5" w14:textId="77777777" w:rsidR="00585F8E" w:rsidRDefault="00585F8E" w:rsidP="002930E3">
      <w:r>
        <w:separator/>
      </w:r>
    </w:p>
  </w:footnote>
  <w:footnote w:type="continuationSeparator" w:id="0">
    <w:p w14:paraId="0442EAB7" w14:textId="77777777" w:rsidR="00585F8E" w:rsidRDefault="00585F8E" w:rsidP="002930E3">
      <w:r>
        <w:continuationSeparator/>
      </w:r>
    </w:p>
  </w:footnote>
  <w:footnote w:id="1">
    <w:p w14:paraId="6CECEB8D" w14:textId="77777777" w:rsidR="002930E3" w:rsidRDefault="002930E3" w:rsidP="002930E3">
      <w:pPr>
        <w:pStyle w:val="FootnoteText"/>
      </w:pPr>
      <w:r>
        <w:rPr>
          <w:rStyle w:val="FootnoteReference"/>
        </w:rPr>
        <w:footnoteRef/>
      </w:r>
      <w:r>
        <w:t xml:space="preserve"> </w:t>
      </w:r>
      <w:r w:rsidRPr="00213CB9">
        <w:t>https://www.thepensionsregulator.gov.uk/en/document-library/corporate-information/climate-change-and-environment/climate-change-strategy</w:t>
      </w:r>
    </w:p>
  </w:footnote>
  <w:footnote w:id="2">
    <w:p w14:paraId="5597635E" w14:textId="77777777" w:rsidR="00D170C3" w:rsidRDefault="00D170C3" w:rsidP="00D170C3">
      <w:pPr>
        <w:pStyle w:val="FootnoteText"/>
      </w:pPr>
      <w:r>
        <w:rPr>
          <w:rStyle w:val="FootnoteReference"/>
        </w:rPr>
        <w:footnoteRef/>
      </w:r>
      <w:r>
        <w:t xml:space="preserve"> </w:t>
      </w:r>
      <w:r w:rsidRPr="00831762">
        <w:t>https://www.lse.ac.uk/granthaminstitute/explainers/what-direct-risks-does-ai-pose-to-the-climate-and-environment/</w:t>
      </w:r>
    </w:p>
  </w:footnote>
  <w:footnote w:id="3">
    <w:p w14:paraId="145BF64A" w14:textId="77777777" w:rsidR="00D170C3" w:rsidRPr="0084352E" w:rsidRDefault="00D170C3" w:rsidP="00D170C3">
      <w:pPr>
        <w:pStyle w:val="FootnoteText"/>
        <w:rPr>
          <w:sz w:val="16"/>
          <w:szCs w:val="16"/>
        </w:rPr>
      </w:pPr>
      <w:r w:rsidRPr="0084352E">
        <w:rPr>
          <w:rStyle w:val="FootnoteReference"/>
          <w:sz w:val="16"/>
          <w:szCs w:val="16"/>
        </w:rPr>
        <w:footnoteRef/>
      </w:r>
      <w:r w:rsidRPr="0084352E">
        <w:rPr>
          <w:sz w:val="16"/>
          <w:szCs w:val="16"/>
        </w:rPr>
        <w:t xml:space="preserve"> https://shareaction-api.files.svdcdn.com/production/resources/reports/MS-Resolution-text.pdf?dm=1739895435</w:t>
      </w:r>
    </w:p>
  </w:footnote>
  <w:footnote w:id="4">
    <w:p w14:paraId="27042849" w14:textId="77777777" w:rsidR="00D170C3" w:rsidRDefault="00D170C3" w:rsidP="00D170C3">
      <w:pPr>
        <w:pStyle w:val="FootnoteText"/>
      </w:pPr>
      <w:r w:rsidRPr="0084352E">
        <w:rPr>
          <w:rStyle w:val="FootnoteReference"/>
          <w:sz w:val="16"/>
          <w:szCs w:val="16"/>
        </w:rPr>
        <w:footnoteRef/>
      </w:r>
      <w:r w:rsidRPr="0084352E">
        <w:rPr>
          <w:sz w:val="16"/>
          <w:szCs w:val="16"/>
        </w:rPr>
        <w:t xml:space="preserve"> https://shareaction-api.files.svdcdn.com/production/resources/reports/Next-Resolution-text.pdf?dm=1739895138</w:t>
      </w:r>
    </w:p>
  </w:footnote>
  <w:footnote w:id="5">
    <w:p w14:paraId="7D3A63EF" w14:textId="77777777" w:rsidR="00D012D9" w:rsidRDefault="00D012D9" w:rsidP="00D012D9">
      <w:pPr>
        <w:pStyle w:val="FootnoteText"/>
      </w:pPr>
      <w:r>
        <w:rPr>
          <w:rStyle w:val="FootnoteReference"/>
        </w:rPr>
        <w:footnoteRef/>
      </w:r>
      <w:r>
        <w:t xml:space="preserve"> </w:t>
      </w:r>
      <w:r w:rsidRPr="00212430">
        <w:t>https://www.bbc.co.uk/news/uk-england-london-67357566</w:t>
      </w:r>
    </w:p>
  </w:footnote>
  <w:footnote w:id="6">
    <w:p w14:paraId="4418D4C4" w14:textId="77777777" w:rsidR="00D012D9" w:rsidRDefault="00D012D9" w:rsidP="00D012D9">
      <w:pPr>
        <w:pStyle w:val="FootnoteText"/>
      </w:pPr>
      <w:r>
        <w:rPr>
          <w:rStyle w:val="FootnoteReference"/>
        </w:rPr>
        <w:footnoteRef/>
      </w:r>
      <w:r>
        <w:t xml:space="preserve"> </w:t>
      </w:r>
      <w:r w:rsidRPr="0018742C">
        <w:t>https://www.theguardian.com/business/2025/dec/02/people-living-along-polluted-thames-file-legal-complaint-force-water-firm-act</w:t>
      </w:r>
    </w:p>
  </w:footnote>
  <w:footnote w:id="7">
    <w:p w14:paraId="07A7304F" w14:textId="77777777" w:rsidR="00D012D9" w:rsidRDefault="00D012D9" w:rsidP="00D012D9">
      <w:pPr>
        <w:pStyle w:val="FootnoteText"/>
      </w:pPr>
      <w:r>
        <w:rPr>
          <w:rStyle w:val="FootnoteReference"/>
        </w:rPr>
        <w:footnoteRef/>
      </w:r>
      <w:r>
        <w:t xml:space="preserve"> </w:t>
      </w:r>
      <w:r w:rsidRPr="00993B33">
        <w:t>https://www.ofwat.gov.uk/ofwat-fines-thames-water-nearly-123m-following-two-investigations-into-the-company/</w:t>
      </w:r>
    </w:p>
  </w:footnote>
  <w:footnote w:id="8">
    <w:p w14:paraId="33F4F6A8" w14:textId="77777777" w:rsidR="00D012D9" w:rsidRDefault="00D012D9" w:rsidP="00D012D9">
      <w:pPr>
        <w:pStyle w:val="FootnoteText"/>
      </w:pPr>
      <w:r>
        <w:rPr>
          <w:rStyle w:val="FootnoteReference"/>
        </w:rPr>
        <w:footnoteRef/>
      </w:r>
      <w:r>
        <w:t xml:space="preserve"> </w:t>
      </w:r>
      <w:r w:rsidRPr="005F00F1">
        <w:t>https://www.ft.com/content/97e41a5c-4cf2-4205-9878-6c75949b92be#:~:text=Mass%20evacuations%2C%20with%20the%20military,with%20knowledge%20of%20the%20site.</w:t>
      </w:r>
    </w:p>
  </w:footnote>
  <w:footnote w:id="9">
    <w:p w14:paraId="57A74819" w14:textId="77777777" w:rsidR="00D012D9" w:rsidRDefault="00D012D9" w:rsidP="00D012D9">
      <w:pPr>
        <w:pStyle w:val="FootnoteText"/>
      </w:pPr>
      <w:r>
        <w:rPr>
          <w:rStyle w:val="FootnoteReference"/>
        </w:rPr>
        <w:footnoteRef/>
      </w:r>
      <w:r>
        <w:t xml:space="preserve"> </w:t>
      </w:r>
      <w:r w:rsidRPr="00993B33">
        <w:t>https://www.gov.uk/government/news/record-90m-fine-for-southern-water-following-ea-prosecution</w:t>
      </w:r>
    </w:p>
  </w:footnote>
  <w:footnote w:id="10">
    <w:p w14:paraId="4785C258" w14:textId="77777777" w:rsidR="00D012D9" w:rsidRDefault="00D012D9" w:rsidP="00D012D9">
      <w:pPr>
        <w:pStyle w:val="FootnoteText"/>
      </w:pPr>
      <w:r>
        <w:rPr>
          <w:rStyle w:val="FootnoteReference"/>
        </w:rPr>
        <w:footnoteRef/>
      </w:r>
      <w:r>
        <w:t xml:space="preserve"> </w:t>
      </w:r>
      <w:r w:rsidRPr="00212430">
        <w:t>https://www.bbc.co.uk/news/articles/c5yd771dn7no</w:t>
      </w:r>
    </w:p>
  </w:footnote>
  <w:footnote w:id="11">
    <w:p w14:paraId="717D8CF2" w14:textId="77777777" w:rsidR="00D012D9" w:rsidRDefault="00D012D9" w:rsidP="00D012D9">
      <w:pPr>
        <w:pStyle w:val="FootnoteText"/>
      </w:pPr>
      <w:r>
        <w:rPr>
          <w:rStyle w:val="FootnoteReference"/>
        </w:rPr>
        <w:footnoteRef/>
      </w:r>
      <w:r>
        <w:t xml:space="preserve"> </w:t>
      </w:r>
      <w:r w:rsidRPr="007D55E7">
        <w:t>https://www.bbc.co.uk/news/articles/c5y0z9qqev4o</w:t>
      </w:r>
    </w:p>
  </w:footnote>
  <w:footnote w:id="12">
    <w:p w14:paraId="78951E17" w14:textId="77777777" w:rsidR="00D012D9" w:rsidRDefault="00D012D9" w:rsidP="00D012D9">
      <w:pPr>
        <w:pStyle w:val="FootnoteText"/>
      </w:pPr>
      <w:r>
        <w:rPr>
          <w:rStyle w:val="FootnoteReference"/>
        </w:rPr>
        <w:footnoteRef/>
      </w:r>
      <w:r>
        <w:t xml:space="preserve"> </w:t>
      </w:r>
      <w:r w:rsidRPr="00AB083C">
        <w:t>https://www.gov.uk/government/news/yorkshire-water-fined-for-polluting-watercourse</w:t>
      </w:r>
    </w:p>
  </w:footnote>
  <w:footnote w:id="13">
    <w:p w14:paraId="0BB05411" w14:textId="77777777" w:rsidR="00D012D9" w:rsidRDefault="00D012D9" w:rsidP="00D012D9">
      <w:pPr>
        <w:pStyle w:val="FootnoteText"/>
      </w:pPr>
      <w:r>
        <w:rPr>
          <w:rStyle w:val="FootnoteReference"/>
        </w:rPr>
        <w:footnoteRef/>
      </w:r>
      <w:r>
        <w:t xml:space="preserve"> </w:t>
      </w:r>
      <w:r w:rsidRPr="00962EBC">
        <w:t>https://unstats.un.org/sdgs/report/2025/The-Sustainable-Development-Goals-Report-2025.pdf</w:t>
      </w:r>
    </w:p>
  </w:footnote>
  <w:footnote w:id="14">
    <w:p w14:paraId="206CC5A3" w14:textId="77777777" w:rsidR="00A9653D" w:rsidRDefault="00A9653D" w:rsidP="00A9653D">
      <w:pPr>
        <w:pStyle w:val="FootnoteText"/>
      </w:pPr>
      <w:r>
        <w:rPr>
          <w:rStyle w:val="FootnoteReference"/>
        </w:rPr>
        <w:footnoteRef/>
      </w:r>
      <w:r>
        <w:t xml:space="preserve"> </w:t>
      </w:r>
      <w:r w:rsidRPr="009C784A">
        <w:t>https://citywire.com/new-model-adviser/news/royal-london-says-thames-water-debt-still-attractive-despite-bond-default/a2440264</w:t>
      </w:r>
    </w:p>
  </w:footnote>
  <w:footnote w:id="15">
    <w:p w14:paraId="2307F7AD" w14:textId="6DBB632A" w:rsidR="002C0641" w:rsidRDefault="002C0641">
      <w:pPr>
        <w:pStyle w:val="FootnoteText"/>
      </w:pPr>
      <w:r>
        <w:rPr>
          <w:rStyle w:val="FootnoteReference"/>
        </w:rPr>
        <w:footnoteRef/>
      </w:r>
      <w:r>
        <w:t xml:space="preserve"> </w:t>
      </w:r>
      <w:r w:rsidRPr="002C0641">
        <w:rPr>
          <w:sz w:val="22"/>
          <w:szCs w:val="22"/>
        </w:rPr>
        <w:t>https://mediaassets.cbre.com/-/media/project/cbre/dotcom/global/about/corporate-responsibility/planet/climate-transition-strategy.pdf?rev=41fac2809a2546cd98c00a1a6d8576b1</w:t>
      </w:r>
    </w:p>
  </w:footnote>
  <w:footnote w:id="16">
    <w:p w14:paraId="055A914B" w14:textId="77777777" w:rsidR="004C2659" w:rsidRDefault="004C2659">
      <w:pPr>
        <w:pStyle w:val="FootnoteText"/>
      </w:pPr>
    </w:p>
    <w:p w14:paraId="1E12BA5A" w14:textId="31397C19" w:rsidR="004C2659" w:rsidRPr="004C2659" w:rsidRDefault="004C2659">
      <w:pPr>
        <w:pStyle w:val="FootnoteText"/>
        <w:rPr>
          <w:b/>
          <w:bCs/>
        </w:rPr>
      </w:pPr>
      <w:r>
        <w:rPr>
          <w:rStyle w:val="FootnoteReference"/>
        </w:rPr>
        <w:footnoteRef/>
      </w:r>
      <w:r>
        <w:t xml:space="preserve"> </w:t>
      </w:r>
      <w:r>
        <w:rPr>
          <w:sz w:val="22"/>
          <w:szCs w:val="22"/>
        </w:rPr>
        <w:t>cbre-2024-corporate-responsibility-report.pdf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0D0"/>
    <w:multiLevelType w:val="hybridMultilevel"/>
    <w:tmpl w:val="475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D6BC1"/>
    <w:multiLevelType w:val="hybridMultilevel"/>
    <w:tmpl w:val="0F2E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410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DA2F1B"/>
    <w:multiLevelType w:val="multilevel"/>
    <w:tmpl w:val="9B8C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80BDB"/>
    <w:multiLevelType w:val="multilevel"/>
    <w:tmpl w:val="FF80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43473"/>
    <w:multiLevelType w:val="multilevel"/>
    <w:tmpl w:val="BC2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620E5"/>
    <w:multiLevelType w:val="multilevel"/>
    <w:tmpl w:val="943AE2E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9C6122"/>
    <w:multiLevelType w:val="hybridMultilevel"/>
    <w:tmpl w:val="5CF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92D6A"/>
    <w:multiLevelType w:val="hybridMultilevel"/>
    <w:tmpl w:val="310A9338"/>
    <w:lvl w:ilvl="0" w:tplc="D2941B50">
      <w:start w:val="2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C2743"/>
    <w:multiLevelType w:val="hybridMultilevel"/>
    <w:tmpl w:val="FD4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84409"/>
    <w:multiLevelType w:val="hybridMultilevel"/>
    <w:tmpl w:val="9414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A0DE0"/>
    <w:multiLevelType w:val="hybridMultilevel"/>
    <w:tmpl w:val="0A44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D5156"/>
    <w:multiLevelType w:val="multilevel"/>
    <w:tmpl w:val="0B50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EE102E"/>
    <w:multiLevelType w:val="hybridMultilevel"/>
    <w:tmpl w:val="B3BE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A424A"/>
    <w:multiLevelType w:val="multilevel"/>
    <w:tmpl w:val="943AE2EE"/>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21C"/>
    <w:multiLevelType w:val="multilevel"/>
    <w:tmpl w:val="0A441108"/>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C68AC"/>
    <w:multiLevelType w:val="hybridMultilevel"/>
    <w:tmpl w:val="CCE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85A1A"/>
    <w:multiLevelType w:val="multilevel"/>
    <w:tmpl w:val="0F2E93A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B35DB1"/>
    <w:multiLevelType w:val="hybridMultilevel"/>
    <w:tmpl w:val="11DA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854C8"/>
    <w:multiLevelType w:val="hybridMultilevel"/>
    <w:tmpl w:val="66D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F5203"/>
    <w:multiLevelType w:val="multilevel"/>
    <w:tmpl w:val="0A441108"/>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1D571B"/>
    <w:multiLevelType w:val="multilevel"/>
    <w:tmpl w:val="943AE2EE"/>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3B18A5"/>
    <w:multiLevelType w:val="multilevel"/>
    <w:tmpl w:val="302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809F7"/>
    <w:multiLevelType w:val="multilevel"/>
    <w:tmpl w:val="DEC6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3C2C89"/>
    <w:multiLevelType w:val="hybridMultilevel"/>
    <w:tmpl w:val="8F68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27FB3"/>
    <w:multiLevelType w:val="hybridMultilevel"/>
    <w:tmpl w:val="806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80C1D"/>
    <w:multiLevelType w:val="multilevel"/>
    <w:tmpl w:val="BF26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4F71CC"/>
    <w:multiLevelType w:val="hybridMultilevel"/>
    <w:tmpl w:val="943A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229825">
    <w:abstractNumId w:val="2"/>
  </w:num>
  <w:num w:numId="2" w16cid:durableId="1899627060">
    <w:abstractNumId w:val="23"/>
  </w:num>
  <w:num w:numId="3" w16cid:durableId="1159076499">
    <w:abstractNumId w:val="11"/>
  </w:num>
  <w:num w:numId="4" w16cid:durableId="1149248348">
    <w:abstractNumId w:val="9"/>
  </w:num>
  <w:num w:numId="5" w16cid:durableId="2144274357">
    <w:abstractNumId w:val="19"/>
  </w:num>
  <w:num w:numId="6" w16cid:durableId="411122811">
    <w:abstractNumId w:val="25"/>
  </w:num>
  <w:num w:numId="7" w16cid:durableId="1482234103">
    <w:abstractNumId w:val="5"/>
  </w:num>
  <w:num w:numId="8" w16cid:durableId="442892457">
    <w:abstractNumId w:val="22"/>
  </w:num>
  <w:num w:numId="9" w16cid:durableId="945884596">
    <w:abstractNumId w:val="26"/>
  </w:num>
  <w:num w:numId="10" w16cid:durableId="1470316858">
    <w:abstractNumId w:val="4"/>
  </w:num>
  <w:num w:numId="11" w16cid:durableId="503668351">
    <w:abstractNumId w:val="12"/>
  </w:num>
  <w:num w:numId="12" w16cid:durableId="1938293335">
    <w:abstractNumId w:val="3"/>
  </w:num>
  <w:num w:numId="13" w16cid:durableId="93016054">
    <w:abstractNumId w:val="8"/>
  </w:num>
  <w:num w:numId="14" w16cid:durableId="7492722">
    <w:abstractNumId w:val="24"/>
  </w:num>
  <w:num w:numId="15" w16cid:durableId="1800495715">
    <w:abstractNumId w:val="27"/>
  </w:num>
  <w:num w:numId="16" w16cid:durableId="1074090432">
    <w:abstractNumId w:val="0"/>
  </w:num>
  <w:num w:numId="17" w16cid:durableId="2142184551">
    <w:abstractNumId w:val="13"/>
  </w:num>
  <w:num w:numId="18" w16cid:durableId="857307747">
    <w:abstractNumId w:val="6"/>
  </w:num>
  <w:num w:numId="19" w16cid:durableId="1353536218">
    <w:abstractNumId w:val="14"/>
  </w:num>
  <w:num w:numId="20" w16cid:durableId="1771972486">
    <w:abstractNumId w:val="21"/>
  </w:num>
  <w:num w:numId="21" w16cid:durableId="2125464444">
    <w:abstractNumId w:val="20"/>
  </w:num>
  <w:num w:numId="22" w16cid:durableId="128981546">
    <w:abstractNumId w:val="15"/>
  </w:num>
  <w:num w:numId="23" w16cid:durableId="1876382633">
    <w:abstractNumId w:val="18"/>
  </w:num>
  <w:num w:numId="24" w16cid:durableId="1004162454">
    <w:abstractNumId w:val="7"/>
  </w:num>
  <w:num w:numId="25" w16cid:durableId="260838309">
    <w:abstractNumId w:val="16"/>
  </w:num>
  <w:num w:numId="26" w16cid:durableId="1842547992">
    <w:abstractNumId w:val="1"/>
  </w:num>
  <w:num w:numId="27" w16cid:durableId="832797825">
    <w:abstractNumId w:val="10"/>
  </w:num>
  <w:num w:numId="28" w16cid:durableId="1791391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E3"/>
    <w:rsid w:val="000008F2"/>
    <w:rsid w:val="00035E5B"/>
    <w:rsid w:val="00041511"/>
    <w:rsid w:val="000664AB"/>
    <w:rsid w:val="000667F0"/>
    <w:rsid w:val="000D3844"/>
    <w:rsid w:val="0015614E"/>
    <w:rsid w:val="001C4DC2"/>
    <w:rsid w:val="001E13ED"/>
    <w:rsid w:val="00213247"/>
    <w:rsid w:val="00232537"/>
    <w:rsid w:val="0024455B"/>
    <w:rsid w:val="002930E3"/>
    <w:rsid w:val="002A4E7C"/>
    <w:rsid w:val="002C0641"/>
    <w:rsid w:val="002C7574"/>
    <w:rsid w:val="002F600C"/>
    <w:rsid w:val="00301092"/>
    <w:rsid w:val="00390B6E"/>
    <w:rsid w:val="00392155"/>
    <w:rsid w:val="00414E00"/>
    <w:rsid w:val="004C2659"/>
    <w:rsid w:val="00526E0B"/>
    <w:rsid w:val="00585F8E"/>
    <w:rsid w:val="00641F3E"/>
    <w:rsid w:val="00686D96"/>
    <w:rsid w:val="006D6D90"/>
    <w:rsid w:val="00727D02"/>
    <w:rsid w:val="0073093D"/>
    <w:rsid w:val="007D6298"/>
    <w:rsid w:val="00814173"/>
    <w:rsid w:val="00834CE8"/>
    <w:rsid w:val="00857E99"/>
    <w:rsid w:val="008739F7"/>
    <w:rsid w:val="00890E90"/>
    <w:rsid w:val="00927D3A"/>
    <w:rsid w:val="0095643C"/>
    <w:rsid w:val="009A731D"/>
    <w:rsid w:val="009B489B"/>
    <w:rsid w:val="00A50F3C"/>
    <w:rsid w:val="00A63F2A"/>
    <w:rsid w:val="00A66F5A"/>
    <w:rsid w:val="00A83D25"/>
    <w:rsid w:val="00A9653D"/>
    <w:rsid w:val="00A9657E"/>
    <w:rsid w:val="00AB0A44"/>
    <w:rsid w:val="00AD6811"/>
    <w:rsid w:val="00BC30F4"/>
    <w:rsid w:val="00BF3D14"/>
    <w:rsid w:val="00C061DF"/>
    <w:rsid w:val="00CB2AAF"/>
    <w:rsid w:val="00CC1AC2"/>
    <w:rsid w:val="00D012D9"/>
    <w:rsid w:val="00D170C3"/>
    <w:rsid w:val="00E3205F"/>
    <w:rsid w:val="00E77946"/>
    <w:rsid w:val="00E81381"/>
    <w:rsid w:val="00E90938"/>
    <w:rsid w:val="00EC7FC2"/>
    <w:rsid w:val="00EE4ED7"/>
    <w:rsid w:val="00FB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202C"/>
  <w14:defaultImageDpi w14:val="32767"/>
  <w15:chartTrackingRefBased/>
  <w15:docId w15:val="{7E7FE4CC-E047-B94E-BAB5-2A0C5678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ptos (Body)"/>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70C3"/>
  </w:style>
  <w:style w:type="paragraph" w:styleId="Heading1">
    <w:name w:val="heading 1"/>
    <w:basedOn w:val="Normal"/>
    <w:next w:val="Normal"/>
    <w:link w:val="Heading1Char"/>
    <w:uiPriority w:val="9"/>
    <w:qFormat/>
    <w:rsid w:val="0029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0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0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30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30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30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30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30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0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0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30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30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30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30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30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30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0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0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30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0E3"/>
    <w:rPr>
      <w:i/>
      <w:iCs/>
      <w:color w:val="404040" w:themeColor="text1" w:themeTint="BF"/>
    </w:rPr>
  </w:style>
  <w:style w:type="paragraph" w:styleId="ListParagraph">
    <w:name w:val="List Paragraph"/>
    <w:basedOn w:val="Normal"/>
    <w:uiPriority w:val="34"/>
    <w:qFormat/>
    <w:rsid w:val="002930E3"/>
    <w:pPr>
      <w:ind w:left="720"/>
      <w:contextualSpacing/>
    </w:pPr>
  </w:style>
  <w:style w:type="character" w:styleId="IntenseEmphasis">
    <w:name w:val="Intense Emphasis"/>
    <w:basedOn w:val="DefaultParagraphFont"/>
    <w:uiPriority w:val="21"/>
    <w:qFormat/>
    <w:rsid w:val="002930E3"/>
    <w:rPr>
      <w:i/>
      <w:iCs/>
      <w:color w:val="0F4761" w:themeColor="accent1" w:themeShade="BF"/>
    </w:rPr>
  </w:style>
  <w:style w:type="paragraph" w:styleId="IntenseQuote">
    <w:name w:val="Intense Quote"/>
    <w:basedOn w:val="Normal"/>
    <w:next w:val="Normal"/>
    <w:link w:val="IntenseQuoteChar"/>
    <w:uiPriority w:val="30"/>
    <w:qFormat/>
    <w:rsid w:val="0029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0E3"/>
    <w:rPr>
      <w:i/>
      <w:iCs/>
      <w:color w:val="0F4761" w:themeColor="accent1" w:themeShade="BF"/>
    </w:rPr>
  </w:style>
  <w:style w:type="character" w:styleId="IntenseReference">
    <w:name w:val="Intense Reference"/>
    <w:basedOn w:val="DefaultParagraphFont"/>
    <w:uiPriority w:val="32"/>
    <w:qFormat/>
    <w:rsid w:val="002930E3"/>
    <w:rPr>
      <w:b/>
      <w:bCs/>
      <w:smallCaps/>
      <w:color w:val="0F4761" w:themeColor="accent1" w:themeShade="BF"/>
      <w:spacing w:val="5"/>
    </w:rPr>
  </w:style>
  <w:style w:type="paragraph" w:styleId="FootnoteText">
    <w:name w:val="footnote text"/>
    <w:basedOn w:val="Normal"/>
    <w:link w:val="FootnoteTextChar"/>
    <w:uiPriority w:val="99"/>
    <w:semiHidden/>
    <w:unhideWhenUsed/>
    <w:rsid w:val="002930E3"/>
    <w:rPr>
      <w:sz w:val="20"/>
      <w:szCs w:val="20"/>
    </w:rPr>
  </w:style>
  <w:style w:type="character" w:customStyle="1" w:styleId="FootnoteTextChar">
    <w:name w:val="Footnote Text Char"/>
    <w:basedOn w:val="DefaultParagraphFont"/>
    <w:link w:val="FootnoteText"/>
    <w:uiPriority w:val="99"/>
    <w:semiHidden/>
    <w:rsid w:val="002930E3"/>
    <w:rPr>
      <w:sz w:val="20"/>
      <w:szCs w:val="20"/>
    </w:rPr>
  </w:style>
  <w:style w:type="character" w:styleId="FootnoteReference">
    <w:name w:val="footnote reference"/>
    <w:basedOn w:val="DefaultParagraphFont"/>
    <w:uiPriority w:val="99"/>
    <w:semiHidden/>
    <w:unhideWhenUsed/>
    <w:rsid w:val="002930E3"/>
    <w:rPr>
      <w:vertAlign w:val="superscript"/>
    </w:rPr>
  </w:style>
  <w:style w:type="paragraph" w:styleId="BodyText">
    <w:name w:val="Body Text"/>
    <w:basedOn w:val="Normal"/>
    <w:link w:val="BodyTextChar"/>
    <w:qFormat/>
    <w:rsid w:val="002930E3"/>
    <w:pPr>
      <w:spacing w:after="200"/>
      <w:jc w:val="both"/>
    </w:pPr>
    <w:rPr>
      <w:rFonts w:ascii="Segoe UI" w:hAnsi="Segoe UI" w:cs="Times New Roman"/>
      <w:sz w:val="20"/>
      <w:lang w:val="en-US" w:bidi="en-US"/>
    </w:rPr>
  </w:style>
  <w:style w:type="character" w:customStyle="1" w:styleId="BodyTextChar">
    <w:name w:val="Body Text Char"/>
    <w:basedOn w:val="DefaultParagraphFont"/>
    <w:link w:val="BodyText"/>
    <w:rsid w:val="002930E3"/>
    <w:rPr>
      <w:rFonts w:ascii="Segoe UI" w:hAnsi="Segoe UI" w:cs="Times New Roman"/>
      <w:sz w:val="20"/>
      <w:lang w:val="en-US" w:bidi="en-US"/>
    </w:rPr>
  </w:style>
  <w:style w:type="paragraph" w:customStyle="1" w:styleId="Default">
    <w:name w:val="Default"/>
    <w:rsid w:val="00D012D9"/>
    <w:pPr>
      <w:autoSpaceDE w:val="0"/>
      <w:autoSpaceDN w:val="0"/>
      <w:adjustRightInd w:val="0"/>
    </w:pPr>
    <w:rPr>
      <w:rFonts w:cs="Calibri"/>
      <w:color w:val="000000"/>
    </w:rPr>
  </w:style>
  <w:style w:type="character" w:customStyle="1" w:styleId="apple-converted-space">
    <w:name w:val="apple-converted-space"/>
    <w:basedOn w:val="DefaultParagraphFont"/>
    <w:rsid w:val="00041511"/>
  </w:style>
  <w:style w:type="character" w:styleId="Hyperlink">
    <w:name w:val="Hyperlink"/>
    <w:basedOn w:val="DefaultParagraphFont"/>
    <w:uiPriority w:val="99"/>
    <w:unhideWhenUsed/>
    <w:rsid w:val="00041511"/>
    <w:rPr>
      <w:color w:val="0000FF"/>
      <w:u w:val="single"/>
    </w:rPr>
  </w:style>
  <w:style w:type="character" w:styleId="UnresolvedMention">
    <w:name w:val="Unresolved Mention"/>
    <w:basedOn w:val="DefaultParagraphFont"/>
    <w:uiPriority w:val="99"/>
    <w:rsid w:val="002C0641"/>
    <w:rPr>
      <w:color w:val="605E5C"/>
      <w:shd w:val="clear" w:color="auto" w:fill="E1DFDD"/>
    </w:rPr>
  </w:style>
  <w:style w:type="character" w:customStyle="1" w:styleId="A0">
    <w:name w:val="A0"/>
    <w:uiPriority w:val="99"/>
    <w:rsid w:val="00D170C3"/>
    <w:rPr>
      <w:rFonts w:cs="Roboto"/>
      <w:color w:val="494847"/>
      <w:sz w:val="18"/>
      <w:szCs w:val="18"/>
    </w:rPr>
  </w:style>
  <w:style w:type="numbering" w:customStyle="1" w:styleId="CurrentList1">
    <w:name w:val="Current List1"/>
    <w:uiPriority w:val="99"/>
    <w:rsid w:val="00D170C3"/>
    <w:pPr>
      <w:numPr>
        <w:numId w:val="18"/>
      </w:numPr>
    </w:pPr>
  </w:style>
  <w:style w:type="numbering" w:customStyle="1" w:styleId="CurrentList2">
    <w:name w:val="Current List2"/>
    <w:uiPriority w:val="99"/>
    <w:rsid w:val="00D170C3"/>
    <w:pPr>
      <w:numPr>
        <w:numId w:val="19"/>
      </w:numPr>
    </w:pPr>
  </w:style>
  <w:style w:type="numbering" w:customStyle="1" w:styleId="CurrentList3">
    <w:name w:val="Current List3"/>
    <w:uiPriority w:val="99"/>
    <w:rsid w:val="00D170C3"/>
    <w:pPr>
      <w:numPr>
        <w:numId w:val="20"/>
      </w:numPr>
    </w:pPr>
  </w:style>
  <w:style w:type="numbering" w:customStyle="1" w:styleId="CurrentList4">
    <w:name w:val="Current List4"/>
    <w:uiPriority w:val="99"/>
    <w:rsid w:val="00D170C3"/>
    <w:pPr>
      <w:numPr>
        <w:numId w:val="21"/>
      </w:numPr>
    </w:pPr>
  </w:style>
  <w:style w:type="numbering" w:customStyle="1" w:styleId="CurrentList5">
    <w:name w:val="Current List5"/>
    <w:uiPriority w:val="99"/>
    <w:rsid w:val="00D170C3"/>
    <w:pPr>
      <w:numPr>
        <w:numId w:val="22"/>
      </w:numPr>
    </w:pPr>
  </w:style>
  <w:style w:type="numbering" w:customStyle="1" w:styleId="CurrentList6">
    <w:name w:val="Current List6"/>
    <w:uiPriority w:val="99"/>
    <w:rsid w:val="00D170C3"/>
    <w:pPr>
      <w:numPr>
        <w:numId w:val="28"/>
      </w:numPr>
    </w:pPr>
  </w:style>
  <w:style w:type="paragraph" w:styleId="Revision">
    <w:name w:val="Revision"/>
    <w:hidden/>
    <w:uiPriority w:val="99"/>
    <w:semiHidden/>
    <w:rsid w:val="00AB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co2-emissions-in-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iea.org/reports/energy-and-ai" TargetMode="External"/><Relationship Id="rId4" Type="http://schemas.openxmlformats.org/officeDocument/2006/relationships/settings" Target="settings.xml"/><Relationship Id="rId9" Type="http://schemas.openxmlformats.org/officeDocument/2006/relationships/hyperlink" Target="https://www.iea.org/reports/energy-an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290A-EE06-3944-8527-A53B5072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13249</Words>
  <Characters>75523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Turner</dc:creator>
  <cp:keywords/>
  <dc:description/>
  <cp:lastModifiedBy>Janice Turner</cp:lastModifiedBy>
  <cp:revision>4</cp:revision>
  <dcterms:created xsi:type="dcterms:W3CDTF">2026-04-28T12:50:00Z</dcterms:created>
  <dcterms:modified xsi:type="dcterms:W3CDTF">2026-04-29T14:59:00Z</dcterms:modified>
</cp:coreProperties>
</file>